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3432" w14:textId="77777777" w:rsidR="008930A7" w:rsidRPr="00521E15" w:rsidRDefault="008930A7">
      <w:pPr>
        <w:pStyle w:val="BodyText"/>
        <w:rPr>
          <w:rFonts w:ascii="Times New Roman"/>
          <w:sz w:val="16"/>
          <w:szCs w:val="16"/>
        </w:rPr>
      </w:pPr>
    </w:p>
    <w:p w14:paraId="4EE53628" w14:textId="77777777" w:rsidR="008930A7" w:rsidRDefault="008930A7">
      <w:pPr>
        <w:pStyle w:val="BodyText"/>
        <w:spacing w:before="1"/>
        <w:rPr>
          <w:rFonts w:ascii="Times New Roman"/>
          <w:sz w:val="17"/>
        </w:rPr>
      </w:pPr>
    </w:p>
    <w:p w14:paraId="4A5B8E1F" w14:textId="4E4BFBB6" w:rsidR="008930A7" w:rsidRPr="00521E15" w:rsidRDefault="00000000" w:rsidP="00521E15">
      <w:pPr>
        <w:spacing w:before="100"/>
        <w:ind w:right="-15" w:firstLine="720"/>
        <w:jc w:val="right"/>
        <w:rPr>
          <w:rFonts w:ascii="Trebuchet MS"/>
          <w:sz w:val="20"/>
          <w:szCs w:val="20"/>
        </w:rPr>
      </w:pPr>
      <w:r w:rsidRPr="00521E15">
        <w:rPr>
          <w:noProof/>
          <w:sz w:val="20"/>
          <w:szCs w:val="20"/>
        </w:rPr>
        <w:drawing>
          <wp:anchor distT="0" distB="0" distL="0" distR="0" simplePos="0" relativeHeight="251658240" behindDoc="0" locked="0" layoutInCell="1" allowOverlap="1" wp14:anchorId="5574975F" wp14:editId="0858A100">
            <wp:simplePos x="0" y="0"/>
            <wp:positionH relativeFrom="page">
              <wp:posOffset>471878</wp:posOffset>
            </wp:positionH>
            <wp:positionV relativeFrom="paragraph">
              <wp:posOffset>342132</wp:posOffset>
            </wp:positionV>
            <wp:extent cx="7084621" cy="831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84621" cy="83121"/>
                    </a:xfrm>
                    <a:prstGeom prst="rect">
                      <a:avLst/>
                    </a:prstGeom>
                  </pic:spPr>
                </pic:pic>
              </a:graphicData>
            </a:graphic>
          </wp:anchor>
        </w:drawing>
      </w:r>
      <w:r w:rsidRPr="00521E15">
        <w:rPr>
          <w:noProof/>
          <w:sz w:val="20"/>
          <w:szCs w:val="20"/>
        </w:rPr>
        <w:drawing>
          <wp:anchor distT="0" distB="0" distL="0" distR="0" simplePos="0" relativeHeight="251659264" behindDoc="0" locked="0" layoutInCell="1" allowOverlap="1" wp14:anchorId="4F09D20E" wp14:editId="6A32277A">
            <wp:simplePos x="0" y="0"/>
            <wp:positionH relativeFrom="page">
              <wp:posOffset>4170755</wp:posOffset>
            </wp:positionH>
            <wp:positionV relativeFrom="paragraph">
              <wp:posOffset>-264165</wp:posOffset>
            </wp:positionV>
            <wp:extent cx="1154675" cy="5378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54675" cy="537844"/>
                    </a:xfrm>
                    <a:prstGeom prst="rect">
                      <a:avLst/>
                    </a:prstGeom>
                  </pic:spPr>
                </pic:pic>
              </a:graphicData>
            </a:graphic>
          </wp:anchor>
        </w:drawing>
      </w:r>
      <w:r w:rsidRPr="00521E15">
        <w:rPr>
          <w:noProof/>
          <w:sz w:val="20"/>
          <w:szCs w:val="20"/>
        </w:rPr>
        <w:drawing>
          <wp:anchor distT="0" distB="0" distL="0" distR="0" simplePos="0" relativeHeight="251660288" behindDoc="0" locked="0" layoutInCell="1" allowOverlap="1" wp14:anchorId="25C590B3" wp14:editId="21215F98">
            <wp:simplePos x="0" y="0"/>
            <wp:positionH relativeFrom="page">
              <wp:posOffset>5462426</wp:posOffset>
            </wp:positionH>
            <wp:positionV relativeFrom="paragraph">
              <wp:posOffset>-259276</wp:posOffset>
            </wp:positionV>
            <wp:extent cx="1188924" cy="4400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88924" cy="440055"/>
                    </a:xfrm>
                    <a:prstGeom prst="rect">
                      <a:avLst/>
                    </a:prstGeom>
                  </pic:spPr>
                </pic:pic>
              </a:graphicData>
            </a:graphic>
          </wp:anchor>
        </w:drawing>
      </w:r>
      <w:r w:rsidRPr="00521E15">
        <w:rPr>
          <w:noProof/>
          <w:sz w:val="20"/>
          <w:szCs w:val="20"/>
        </w:rPr>
        <w:drawing>
          <wp:anchor distT="0" distB="0" distL="0" distR="0" simplePos="0" relativeHeight="251661312" behindDoc="0" locked="0" layoutInCell="1" allowOverlap="1" wp14:anchorId="4E73EEFE" wp14:editId="185D0FC1">
            <wp:simplePos x="0" y="0"/>
            <wp:positionH relativeFrom="page">
              <wp:posOffset>1885867</wp:posOffset>
            </wp:positionH>
            <wp:positionV relativeFrom="paragraph">
              <wp:posOffset>-269055</wp:posOffset>
            </wp:positionV>
            <wp:extent cx="2118536" cy="5427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118536" cy="542734"/>
                    </a:xfrm>
                    <a:prstGeom prst="rect">
                      <a:avLst/>
                    </a:prstGeom>
                  </pic:spPr>
                </pic:pic>
              </a:graphicData>
            </a:graphic>
          </wp:anchor>
        </w:drawing>
      </w:r>
      <w:r w:rsidR="00521E15">
        <w:rPr>
          <w:rFonts w:ascii="Trebuchet MS"/>
          <w:w w:val="110"/>
          <w:sz w:val="20"/>
          <w:szCs w:val="20"/>
        </w:rPr>
        <w:t xml:space="preserve">    </w:t>
      </w:r>
      <w:r w:rsidRPr="00521E15">
        <w:rPr>
          <w:rFonts w:ascii="Trebuchet MS"/>
          <w:spacing w:val="-3"/>
          <w:w w:val="110"/>
          <w:sz w:val="20"/>
          <w:szCs w:val="20"/>
        </w:rPr>
        <w:t xml:space="preserve"> </w:t>
      </w:r>
      <w:r w:rsidR="00521E15">
        <w:rPr>
          <w:rFonts w:ascii="Trebuchet MS"/>
          <w:spacing w:val="-3"/>
          <w:w w:val="110"/>
          <w:sz w:val="20"/>
          <w:szCs w:val="20"/>
        </w:rPr>
        <w:t xml:space="preserve">  </w:t>
      </w:r>
    </w:p>
    <w:p w14:paraId="35682330" w14:textId="77777777" w:rsidR="008930A7" w:rsidRDefault="008930A7">
      <w:pPr>
        <w:pStyle w:val="BodyText"/>
        <w:rPr>
          <w:rFonts w:ascii="Trebuchet MS"/>
          <w:sz w:val="28"/>
        </w:rPr>
      </w:pPr>
    </w:p>
    <w:p w14:paraId="771ABFCD" w14:textId="69F404E9" w:rsidR="008930A7" w:rsidRDefault="007723B8">
      <w:pPr>
        <w:pStyle w:val="Title"/>
      </w:pPr>
      <w:r>
        <w:rPr>
          <w:noProof/>
        </w:rPr>
        <mc:AlternateContent>
          <mc:Choice Requires="wps">
            <w:drawing>
              <wp:anchor distT="0" distB="0" distL="114300" distR="114300" simplePos="0" relativeHeight="251660800" behindDoc="0" locked="0" layoutInCell="1" allowOverlap="1" wp14:anchorId="4FFEE810" wp14:editId="239A1A69">
                <wp:simplePos x="0" y="0"/>
                <wp:positionH relativeFrom="page">
                  <wp:posOffset>466090</wp:posOffset>
                </wp:positionH>
                <wp:positionV relativeFrom="paragraph">
                  <wp:posOffset>759460</wp:posOffset>
                </wp:positionV>
                <wp:extent cx="7083425" cy="0"/>
                <wp:effectExtent l="0" t="0" r="0" b="0"/>
                <wp:wrapNone/>
                <wp:docPr id="20518979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3425" cy="0"/>
                        </a:xfrm>
                        <a:prstGeom prst="line">
                          <a:avLst/>
                        </a:prstGeom>
                        <a:noFill/>
                        <a:ln w="29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72646"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59.8pt" to="594.4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" strokeweight="2.31pt">
                <w10:wrap anchorx="page"/>
              </v:line>
            </w:pict>
          </mc:Fallback>
        </mc:AlternateContent>
      </w:r>
      <w:r>
        <w:rPr>
          <w:w w:val="110"/>
        </w:rPr>
        <w:t>RE</w:t>
      </w:r>
      <w:r w:rsidR="005C426C">
        <w:rPr>
          <w:w w:val="110"/>
        </w:rPr>
        <w:t>V</w:t>
      </w:r>
      <w:r>
        <w:rPr>
          <w:w w:val="110"/>
        </w:rPr>
        <w:t>I</w:t>
      </w:r>
      <w:r w:rsidR="005C426C">
        <w:rPr>
          <w:w w:val="110"/>
        </w:rPr>
        <w:t>E</w:t>
      </w:r>
      <w:r>
        <w:rPr>
          <w:w w:val="110"/>
        </w:rPr>
        <w:t>W</w:t>
      </w:r>
      <w:r>
        <w:rPr>
          <w:spacing w:val="8"/>
          <w:w w:val="110"/>
        </w:rPr>
        <w:t xml:space="preserve"> </w:t>
      </w:r>
      <w:r>
        <w:rPr>
          <w:w w:val="110"/>
        </w:rPr>
        <w:t>OF</w:t>
      </w:r>
      <w:r>
        <w:rPr>
          <w:spacing w:val="-22"/>
          <w:w w:val="110"/>
        </w:rPr>
        <w:t xml:space="preserve"> </w:t>
      </w:r>
      <w:r>
        <w:rPr>
          <w:w w:val="110"/>
        </w:rPr>
        <w:t>DEVELOPMENTS</w:t>
      </w:r>
      <w:r>
        <w:rPr>
          <w:spacing w:val="38"/>
          <w:w w:val="110"/>
        </w:rPr>
        <w:t xml:space="preserve"> </w:t>
      </w:r>
      <w:r>
        <w:rPr>
          <w:w w:val="110"/>
        </w:rPr>
        <w:t>IN</w:t>
      </w:r>
      <w:r>
        <w:rPr>
          <w:spacing w:val="-19"/>
          <w:w w:val="110"/>
        </w:rPr>
        <w:t xml:space="preserve"> </w:t>
      </w:r>
      <w:r>
        <w:rPr>
          <w:spacing w:val="-5"/>
          <w:w w:val="110"/>
        </w:rPr>
        <w:t>LAW</w:t>
      </w:r>
    </w:p>
    <w:p w14:paraId="583D13BB" w14:textId="77777777" w:rsidR="008930A7" w:rsidRDefault="008930A7">
      <w:pPr>
        <w:pStyle w:val="BodyText"/>
        <w:rPr>
          <w:rFonts w:ascii="Trebuchet MS"/>
          <w:sz w:val="20"/>
        </w:rPr>
      </w:pPr>
    </w:p>
    <w:p w14:paraId="3A2ADB4E" w14:textId="77777777" w:rsidR="008930A7" w:rsidRDefault="008930A7">
      <w:pPr>
        <w:pStyle w:val="BodyText"/>
        <w:rPr>
          <w:rFonts w:ascii="Trebuchet MS"/>
          <w:sz w:val="20"/>
        </w:rPr>
      </w:pPr>
    </w:p>
    <w:p w14:paraId="192C082B" w14:textId="77777777" w:rsidR="008930A7" w:rsidRDefault="008930A7">
      <w:pPr>
        <w:pStyle w:val="BodyText"/>
        <w:rPr>
          <w:rFonts w:ascii="Trebuchet MS"/>
          <w:sz w:val="20"/>
        </w:rPr>
      </w:pPr>
    </w:p>
    <w:p w14:paraId="49422260" w14:textId="77777777" w:rsidR="008930A7" w:rsidRDefault="008930A7">
      <w:pPr>
        <w:pStyle w:val="BodyText"/>
        <w:rPr>
          <w:rFonts w:ascii="Trebuchet MS"/>
          <w:sz w:val="20"/>
        </w:rPr>
      </w:pPr>
    </w:p>
    <w:p w14:paraId="092DA507" w14:textId="594D61C9" w:rsidR="008930A7" w:rsidRDefault="00000000">
      <w:pPr>
        <w:pStyle w:val="BodyText"/>
        <w:spacing w:before="6"/>
        <w:rPr>
          <w:rFonts w:ascii="Trebuchet MS"/>
          <w:sz w:val="19"/>
        </w:rPr>
      </w:pPr>
      <w:r>
        <w:rPr>
          <w:noProof/>
        </w:rPr>
        <w:drawing>
          <wp:anchor distT="0" distB="0" distL="0" distR="0" simplePos="0" relativeHeight="251655680" behindDoc="0" locked="0" layoutInCell="1" allowOverlap="1" wp14:anchorId="01199FC8" wp14:editId="4B251F64">
            <wp:simplePos x="0" y="0"/>
            <wp:positionH relativeFrom="page">
              <wp:posOffset>838830</wp:posOffset>
            </wp:positionH>
            <wp:positionV relativeFrom="paragraph">
              <wp:posOffset>159416</wp:posOffset>
            </wp:positionV>
            <wp:extent cx="2167972" cy="216655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167972" cy="2166556"/>
                    </a:xfrm>
                    <a:prstGeom prst="rect">
                      <a:avLst/>
                    </a:prstGeom>
                  </pic:spPr>
                </pic:pic>
              </a:graphicData>
            </a:graphic>
          </wp:anchor>
        </w:drawing>
      </w:r>
      <w:r w:rsidR="007723B8">
        <w:rPr>
          <w:noProof/>
        </w:rPr>
        <mc:AlternateContent>
          <mc:Choice Requires="wps">
            <w:drawing>
              <wp:anchor distT="0" distB="0" distL="0" distR="0" simplePos="0" relativeHeight="251661824" behindDoc="1" locked="0" layoutInCell="1" allowOverlap="1" wp14:anchorId="39308ACA" wp14:editId="03C28AA4">
                <wp:simplePos x="0" y="0"/>
                <wp:positionH relativeFrom="page">
                  <wp:posOffset>903605</wp:posOffset>
                </wp:positionH>
                <wp:positionV relativeFrom="paragraph">
                  <wp:posOffset>2401570</wp:posOffset>
                </wp:positionV>
                <wp:extent cx="2178685" cy="1270"/>
                <wp:effectExtent l="0" t="0" r="0" b="0"/>
                <wp:wrapTopAndBottom/>
                <wp:docPr id="27435579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685" cy="1270"/>
                        </a:xfrm>
                        <a:custGeom>
                          <a:avLst/>
                          <a:gdLst>
                            <a:gd name="T0" fmla="+- 0 1423 1423"/>
                            <a:gd name="T1" fmla="*/ T0 w 3431"/>
                            <a:gd name="T2" fmla="+- 0 4853 1423"/>
                            <a:gd name="T3" fmla="*/ T2 w 3431"/>
                          </a:gdLst>
                          <a:ahLst/>
                          <a:cxnLst>
                            <a:cxn ang="0">
                              <a:pos x="T1" y="0"/>
                            </a:cxn>
                            <a:cxn ang="0">
                              <a:pos x="T3" y="0"/>
                            </a:cxn>
                          </a:cxnLst>
                          <a:rect l="0" t="0" r="r" b="b"/>
                          <a:pathLst>
                            <a:path w="3431">
                              <a:moveTo>
                                <a:pt x="0" y="0"/>
                              </a:moveTo>
                              <a:lnTo>
                                <a:pt x="3430" y="0"/>
                              </a:lnTo>
                            </a:path>
                          </a:pathLst>
                        </a:custGeom>
                        <a:noFill/>
                        <a:ln w="11735">
                          <a:solidFill>
                            <a:srgbClr val="1C1C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6778" id="docshape1" o:spid="_x0000_s1026" style="position:absolute;margin-left:71.15pt;margin-top:189.1pt;width:171.5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" path="m,l3430,e" filled="f" strokecolor="#1c1c1c" strokeweight=".32597mm">
                <v:path arrowok="t" o:connecttype="custom" o:connectlocs="0,0;2178050,0" o:connectangles="0,0"/>
                <w10:wrap type="topAndBottom" anchorx="page"/>
              </v:shape>
            </w:pict>
          </mc:Fallback>
        </mc:AlternateContent>
      </w:r>
    </w:p>
    <w:p w14:paraId="3720C374" w14:textId="77777777" w:rsidR="008930A7" w:rsidRDefault="008930A7">
      <w:pPr>
        <w:pStyle w:val="BodyText"/>
        <w:spacing w:before="2"/>
        <w:rPr>
          <w:rFonts w:ascii="Trebuchet MS"/>
          <w:sz w:val="8"/>
        </w:rPr>
      </w:pPr>
    </w:p>
    <w:p w14:paraId="7EF6FEAC" w14:textId="77777777" w:rsidR="008930A7" w:rsidRDefault="008930A7">
      <w:pPr>
        <w:pStyle w:val="BodyText"/>
        <w:rPr>
          <w:rFonts w:ascii="Trebuchet MS"/>
          <w:sz w:val="6"/>
        </w:rPr>
      </w:pPr>
    </w:p>
    <w:p w14:paraId="6494FBE7" w14:textId="77777777" w:rsidR="008930A7" w:rsidRDefault="008930A7">
      <w:pPr>
        <w:rPr>
          <w:rFonts w:ascii="Trebuchet MS"/>
          <w:sz w:val="6"/>
        </w:rPr>
        <w:sectPr w:rsidR="008930A7" w:rsidSect="00521E15">
          <w:type w:val="continuous"/>
          <w:pgSz w:w="11900" w:h="16840"/>
          <w:pgMar w:top="1037" w:right="0" w:bottom="274" w:left="619" w:header="720" w:footer="720" w:gutter="0"/>
          <w:cols w:space="720"/>
        </w:sectPr>
      </w:pPr>
    </w:p>
    <w:p w14:paraId="4290AAA7" w14:textId="77777777" w:rsidR="008930A7" w:rsidRPr="00206AE8" w:rsidRDefault="00000000">
      <w:pPr>
        <w:spacing w:before="61"/>
        <w:ind w:left="774"/>
        <w:rPr>
          <w:rFonts w:ascii="Bookman Old Style" w:hAnsi="Bookman Old Style"/>
          <w:b/>
          <w:bCs/>
          <w:sz w:val="31"/>
        </w:rPr>
      </w:pPr>
      <w:r w:rsidRPr="00206AE8">
        <w:rPr>
          <w:rFonts w:ascii="Bookman Old Style" w:hAnsi="Bookman Old Style"/>
          <w:b/>
          <w:bCs/>
          <w:sz w:val="31"/>
        </w:rPr>
        <w:t>Chamblee</w:t>
      </w:r>
      <w:r w:rsidRPr="00206AE8">
        <w:rPr>
          <w:rFonts w:ascii="Bookman Old Style" w:hAnsi="Bookman Old Style"/>
          <w:b/>
          <w:bCs/>
          <w:spacing w:val="30"/>
          <w:sz w:val="31"/>
        </w:rPr>
        <w:t xml:space="preserve"> </w:t>
      </w:r>
      <w:r w:rsidRPr="00206AE8">
        <w:rPr>
          <w:rFonts w:ascii="Bookman Old Style" w:hAnsi="Bookman Old Style"/>
          <w:b/>
          <w:bCs/>
          <w:sz w:val="31"/>
        </w:rPr>
        <w:t>Ryan</w:t>
      </w:r>
      <w:r w:rsidRPr="00206AE8">
        <w:rPr>
          <w:rFonts w:ascii="Bookman Old Style" w:hAnsi="Bookman Old Style"/>
          <w:b/>
          <w:bCs/>
          <w:spacing w:val="10"/>
          <w:sz w:val="31"/>
        </w:rPr>
        <w:t xml:space="preserve"> </w:t>
      </w:r>
      <w:r w:rsidRPr="00206AE8">
        <w:rPr>
          <w:rFonts w:ascii="Bookman Old Style" w:hAnsi="Bookman Old Style"/>
          <w:b/>
          <w:bCs/>
          <w:spacing w:val="-4"/>
          <w:sz w:val="31"/>
        </w:rPr>
        <w:t>Case</w:t>
      </w:r>
    </w:p>
    <w:p w14:paraId="42EFAB6C" w14:textId="78684DD2" w:rsidR="008930A7" w:rsidRPr="00206AE8" w:rsidRDefault="00000000">
      <w:pPr>
        <w:spacing w:before="40"/>
        <w:ind w:left="776"/>
        <w:rPr>
          <w:rFonts w:ascii="Bookman Old Style" w:hAnsi="Bookman Old Style"/>
          <w:b/>
          <w:bCs/>
          <w:sz w:val="29"/>
        </w:rPr>
      </w:pPr>
      <w:r w:rsidRPr="00206AE8">
        <w:rPr>
          <w:rFonts w:ascii="Bookman Old Style" w:hAnsi="Bookman Old Style"/>
          <w:b/>
          <w:bCs/>
          <w:spacing w:val="-7"/>
          <w:sz w:val="29"/>
        </w:rPr>
        <w:t>P</w:t>
      </w:r>
      <w:r w:rsidR="00521E15" w:rsidRPr="00206AE8">
        <w:rPr>
          <w:rFonts w:ascii="Bookman Old Style" w:hAnsi="Bookman Old Style"/>
          <w:b/>
          <w:bCs/>
          <w:spacing w:val="-7"/>
          <w:sz w:val="29"/>
        </w:rPr>
        <w:t>R</w:t>
      </w:r>
      <w:r w:rsidRPr="00206AE8">
        <w:rPr>
          <w:rFonts w:ascii="Bookman Old Style" w:hAnsi="Bookman Old Style"/>
          <w:b/>
          <w:bCs/>
          <w:spacing w:val="-7"/>
          <w:sz w:val="29"/>
        </w:rPr>
        <w:t>EMISES</w:t>
      </w:r>
      <w:r w:rsidRPr="00206AE8">
        <w:rPr>
          <w:rFonts w:ascii="Bookman Old Style" w:hAnsi="Bookman Old Style"/>
          <w:b/>
          <w:bCs/>
          <w:sz w:val="29"/>
        </w:rPr>
        <w:t xml:space="preserve"> </w:t>
      </w:r>
      <w:r w:rsidRPr="00206AE8">
        <w:rPr>
          <w:rFonts w:ascii="Bookman Old Style" w:hAnsi="Bookman Old Style"/>
          <w:b/>
          <w:bCs/>
          <w:spacing w:val="-2"/>
          <w:sz w:val="29"/>
        </w:rPr>
        <w:t>LIABILITY:</w:t>
      </w:r>
    </w:p>
    <w:p w14:paraId="6D704044" w14:textId="1C5680B6" w:rsidR="008930A7" w:rsidRPr="00521E15" w:rsidRDefault="00000000" w:rsidP="00521E15">
      <w:pPr>
        <w:spacing w:before="223" w:line="283" w:lineRule="auto"/>
        <w:ind w:left="461" w:right="1" w:firstLine="11"/>
        <w:jc w:val="both"/>
        <w:rPr>
          <w:sz w:val="21"/>
          <w:szCs w:val="21"/>
        </w:rPr>
      </w:pPr>
      <w:r w:rsidRPr="00521E15">
        <w:rPr>
          <w:w w:val="115"/>
          <w:sz w:val="21"/>
          <w:szCs w:val="21"/>
        </w:rPr>
        <w:t>C</w:t>
      </w:r>
      <w:r w:rsidR="00521E15" w:rsidRPr="00521E15">
        <w:rPr>
          <w:w w:val="115"/>
          <w:sz w:val="21"/>
          <w:szCs w:val="21"/>
        </w:rPr>
        <w:t>h</w:t>
      </w:r>
      <w:r w:rsidRPr="00521E15">
        <w:rPr>
          <w:w w:val="115"/>
          <w:sz w:val="21"/>
          <w:szCs w:val="21"/>
        </w:rPr>
        <w:t>a</w:t>
      </w:r>
      <w:r w:rsidR="00521E15" w:rsidRPr="00521E15">
        <w:rPr>
          <w:w w:val="115"/>
          <w:sz w:val="21"/>
          <w:szCs w:val="21"/>
        </w:rPr>
        <w:t>m</w:t>
      </w:r>
      <w:r w:rsidRPr="00521E15">
        <w:rPr>
          <w:w w:val="115"/>
          <w:sz w:val="21"/>
          <w:szCs w:val="21"/>
        </w:rPr>
        <w:t xml:space="preserve">blee Ryan has successfully </w:t>
      </w:r>
      <w:r w:rsidR="00521E15" w:rsidRPr="00521E15">
        <w:rPr>
          <w:w w:val="115"/>
          <w:sz w:val="21"/>
          <w:szCs w:val="21"/>
        </w:rPr>
        <w:t>de</w:t>
      </w:r>
      <w:r w:rsidRPr="00521E15">
        <w:rPr>
          <w:w w:val="115"/>
          <w:sz w:val="21"/>
          <w:szCs w:val="21"/>
        </w:rPr>
        <w:t>fended on appeal the summary judgment</w:t>
      </w:r>
      <w:r w:rsidRPr="00521E15">
        <w:rPr>
          <w:spacing w:val="59"/>
          <w:w w:val="115"/>
          <w:sz w:val="21"/>
          <w:szCs w:val="21"/>
        </w:rPr>
        <w:t xml:space="preserve"> </w:t>
      </w:r>
      <w:r w:rsidRPr="00521E15">
        <w:rPr>
          <w:w w:val="115"/>
          <w:sz w:val="21"/>
          <w:szCs w:val="21"/>
        </w:rPr>
        <w:t>it</w:t>
      </w:r>
      <w:r w:rsidRPr="00521E15">
        <w:rPr>
          <w:spacing w:val="40"/>
          <w:w w:val="115"/>
          <w:sz w:val="21"/>
          <w:szCs w:val="21"/>
        </w:rPr>
        <w:t xml:space="preserve"> </w:t>
      </w:r>
      <w:r w:rsidRPr="00521E15">
        <w:rPr>
          <w:w w:val="115"/>
          <w:sz w:val="21"/>
          <w:szCs w:val="21"/>
        </w:rPr>
        <w:t>obtained</w:t>
      </w:r>
      <w:r w:rsidRPr="00521E15">
        <w:rPr>
          <w:spacing w:val="59"/>
          <w:w w:val="115"/>
          <w:sz w:val="21"/>
          <w:szCs w:val="21"/>
        </w:rPr>
        <w:t xml:space="preserve"> </w:t>
      </w:r>
      <w:r w:rsidRPr="00521E15">
        <w:rPr>
          <w:w w:val="115"/>
          <w:sz w:val="21"/>
          <w:szCs w:val="21"/>
        </w:rPr>
        <w:t>in</w:t>
      </w:r>
      <w:r w:rsidRPr="00521E15">
        <w:rPr>
          <w:spacing w:val="40"/>
          <w:w w:val="115"/>
          <w:sz w:val="21"/>
          <w:szCs w:val="21"/>
        </w:rPr>
        <w:t xml:space="preserve"> </w:t>
      </w:r>
      <w:r w:rsidRPr="00521E15">
        <w:rPr>
          <w:w w:val="115"/>
          <w:sz w:val="21"/>
          <w:szCs w:val="21"/>
        </w:rPr>
        <w:t>a</w:t>
      </w:r>
      <w:r w:rsidRPr="00521E15">
        <w:rPr>
          <w:spacing w:val="65"/>
          <w:w w:val="115"/>
          <w:sz w:val="21"/>
          <w:szCs w:val="21"/>
        </w:rPr>
        <w:t xml:space="preserve"> </w:t>
      </w:r>
      <w:r w:rsidRPr="00521E15">
        <w:rPr>
          <w:w w:val="115"/>
          <w:sz w:val="21"/>
          <w:szCs w:val="21"/>
        </w:rPr>
        <w:t xml:space="preserve">high- </w:t>
      </w:r>
      <w:r w:rsidR="00521E15" w:rsidRPr="00521E15">
        <w:rPr>
          <w:w w:val="115"/>
          <w:sz w:val="21"/>
          <w:szCs w:val="21"/>
        </w:rPr>
        <w:t>da</w:t>
      </w:r>
      <w:r w:rsidRPr="00521E15">
        <w:rPr>
          <w:w w:val="115"/>
          <w:sz w:val="21"/>
          <w:szCs w:val="21"/>
        </w:rPr>
        <w:t>mages case involving</w:t>
      </w:r>
      <w:r w:rsidRPr="00521E15">
        <w:rPr>
          <w:spacing w:val="40"/>
          <w:w w:val="115"/>
          <w:sz w:val="21"/>
          <w:szCs w:val="21"/>
        </w:rPr>
        <w:t xml:space="preserve"> </w:t>
      </w:r>
      <w:r w:rsidRPr="00521E15">
        <w:rPr>
          <w:w w:val="115"/>
          <w:sz w:val="21"/>
          <w:szCs w:val="21"/>
        </w:rPr>
        <w:t>a</w:t>
      </w:r>
      <w:r w:rsidRPr="00521E15">
        <w:rPr>
          <w:spacing w:val="40"/>
          <w:w w:val="115"/>
          <w:sz w:val="21"/>
          <w:szCs w:val="21"/>
        </w:rPr>
        <w:t xml:space="preserve"> </w:t>
      </w:r>
      <w:r w:rsidRPr="00521E15">
        <w:rPr>
          <w:w w:val="115"/>
          <w:sz w:val="21"/>
          <w:szCs w:val="21"/>
        </w:rPr>
        <w:t xml:space="preserve">bicycIe accident in a private community </w:t>
      </w:r>
      <w:r w:rsidRPr="00521E15">
        <w:rPr>
          <w:color w:val="343434"/>
          <w:w w:val="115"/>
          <w:sz w:val="21"/>
          <w:szCs w:val="21"/>
        </w:rPr>
        <w:t xml:space="preserve">in </w:t>
      </w:r>
      <w:r w:rsidR="00521E15" w:rsidRPr="00521E15">
        <w:rPr>
          <w:i/>
          <w:iCs/>
          <w:color w:val="343434"/>
          <w:w w:val="115"/>
          <w:sz w:val="21"/>
          <w:szCs w:val="21"/>
        </w:rPr>
        <w:t>K</w:t>
      </w:r>
      <w:r w:rsidRPr="00521E15">
        <w:rPr>
          <w:i/>
          <w:iCs/>
          <w:w w:val="115"/>
          <w:sz w:val="21"/>
          <w:szCs w:val="21"/>
        </w:rPr>
        <w:t>emp</w:t>
      </w:r>
      <w:r w:rsidRPr="00521E15">
        <w:rPr>
          <w:i/>
          <w:iCs/>
          <w:spacing w:val="-13"/>
          <w:w w:val="115"/>
          <w:sz w:val="21"/>
          <w:szCs w:val="21"/>
        </w:rPr>
        <w:t xml:space="preserve"> </w:t>
      </w:r>
      <w:r w:rsidRPr="00521E15">
        <w:rPr>
          <w:i/>
          <w:iCs/>
          <w:w w:val="115"/>
          <w:sz w:val="21"/>
          <w:szCs w:val="21"/>
        </w:rPr>
        <w:t>v.</w:t>
      </w:r>
      <w:r w:rsidRPr="00521E15">
        <w:rPr>
          <w:i/>
          <w:iCs/>
          <w:spacing w:val="-12"/>
          <w:w w:val="115"/>
          <w:sz w:val="21"/>
          <w:szCs w:val="21"/>
        </w:rPr>
        <w:t xml:space="preserve"> </w:t>
      </w:r>
      <w:r w:rsidRPr="00521E15">
        <w:rPr>
          <w:i/>
          <w:iCs/>
          <w:w w:val="115"/>
          <w:sz w:val="21"/>
          <w:szCs w:val="21"/>
        </w:rPr>
        <w:t>Insig</w:t>
      </w:r>
      <w:r w:rsidRPr="00521E15">
        <w:rPr>
          <w:i/>
          <w:iCs/>
          <w:color w:val="1A1A1A"/>
          <w:w w:val="115"/>
          <w:sz w:val="21"/>
          <w:szCs w:val="21"/>
        </w:rPr>
        <w:t>ht</w:t>
      </w:r>
      <w:r w:rsidRPr="00521E15">
        <w:rPr>
          <w:i/>
          <w:iCs/>
          <w:color w:val="1A1A1A"/>
          <w:spacing w:val="-12"/>
          <w:w w:val="115"/>
          <w:sz w:val="21"/>
          <w:szCs w:val="21"/>
        </w:rPr>
        <w:t xml:space="preserve"> </w:t>
      </w:r>
      <w:r w:rsidRPr="00521E15">
        <w:rPr>
          <w:i/>
          <w:iCs/>
          <w:w w:val="115"/>
          <w:sz w:val="21"/>
          <w:szCs w:val="21"/>
        </w:rPr>
        <w:t xml:space="preserve">Ass'n </w:t>
      </w:r>
      <w:r w:rsidRPr="00521E15">
        <w:rPr>
          <w:i/>
          <w:iCs/>
          <w:spacing w:val="12"/>
          <w:w w:val="115"/>
          <w:sz w:val="21"/>
          <w:szCs w:val="21"/>
        </w:rPr>
        <w:t>Mg</w:t>
      </w:r>
      <w:r w:rsidRPr="00521E15">
        <w:rPr>
          <w:i/>
          <w:iCs/>
          <w:w w:val="115"/>
          <w:sz w:val="21"/>
          <w:szCs w:val="21"/>
        </w:rPr>
        <w:t>mt.</w:t>
      </w:r>
      <w:r w:rsidRPr="00521E15">
        <w:rPr>
          <w:i/>
          <w:iCs/>
          <w:spacing w:val="29"/>
          <w:w w:val="115"/>
          <w:sz w:val="21"/>
          <w:szCs w:val="21"/>
        </w:rPr>
        <w:t xml:space="preserve"> </w:t>
      </w:r>
      <w:r w:rsidRPr="00521E15">
        <w:rPr>
          <w:i/>
          <w:iCs/>
          <w:w w:val="115"/>
          <w:sz w:val="21"/>
          <w:szCs w:val="21"/>
        </w:rPr>
        <w:t>GP,</w:t>
      </w:r>
      <w:r w:rsidRPr="00521E15">
        <w:rPr>
          <w:i/>
          <w:iCs/>
          <w:spacing w:val="40"/>
          <w:w w:val="115"/>
          <w:sz w:val="21"/>
          <w:szCs w:val="21"/>
        </w:rPr>
        <w:t xml:space="preserve"> </w:t>
      </w:r>
      <w:r w:rsidRPr="00521E15">
        <w:rPr>
          <w:i/>
          <w:iCs/>
          <w:w w:val="115"/>
          <w:sz w:val="21"/>
          <w:szCs w:val="21"/>
        </w:rPr>
        <w:t>Inc.,</w:t>
      </w:r>
      <w:r w:rsidRPr="00521E15">
        <w:rPr>
          <w:w w:val="115"/>
          <w:sz w:val="21"/>
          <w:szCs w:val="21"/>
        </w:rPr>
        <w:t xml:space="preserve"> No.</w:t>
      </w:r>
      <w:r w:rsidRPr="00521E15">
        <w:rPr>
          <w:spacing w:val="53"/>
          <w:w w:val="115"/>
          <w:sz w:val="21"/>
          <w:szCs w:val="21"/>
        </w:rPr>
        <w:t xml:space="preserve">   </w:t>
      </w:r>
      <w:r w:rsidRPr="00521E15">
        <w:rPr>
          <w:w w:val="115"/>
          <w:sz w:val="21"/>
          <w:szCs w:val="21"/>
        </w:rPr>
        <w:t>05-22-OO59O-CV.</w:t>
      </w:r>
      <w:r w:rsidRPr="00521E15">
        <w:rPr>
          <w:spacing w:val="50"/>
          <w:w w:val="115"/>
          <w:sz w:val="21"/>
          <w:szCs w:val="21"/>
        </w:rPr>
        <w:t xml:space="preserve">   </w:t>
      </w:r>
      <w:r w:rsidRPr="00521E15">
        <w:rPr>
          <w:w w:val="115"/>
          <w:sz w:val="21"/>
          <w:szCs w:val="21"/>
        </w:rPr>
        <w:t>2023</w:t>
      </w:r>
      <w:r w:rsidRPr="00521E15">
        <w:rPr>
          <w:spacing w:val="56"/>
          <w:w w:val="115"/>
          <w:sz w:val="21"/>
          <w:szCs w:val="21"/>
        </w:rPr>
        <w:t xml:space="preserve">   </w:t>
      </w:r>
      <w:r w:rsidRPr="00521E15">
        <w:rPr>
          <w:spacing w:val="-5"/>
          <w:w w:val="115"/>
          <w:sz w:val="21"/>
          <w:szCs w:val="21"/>
        </w:rPr>
        <w:t>WL</w:t>
      </w:r>
      <w:r w:rsidR="00521E15">
        <w:rPr>
          <w:spacing w:val="-5"/>
          <w:w w:val="115"/>
          <w:sz w:val="21"/>
          <w:szCs w:val="21"/>
        </w:rPr>
        <w:t xml:space="preserve"> </w:t>
      </w:r>
      <w:r w:rsidRPr="00521E15">
        <w:rPr>
          <w:w w:val="110"/>
          <w:sz w:val="21"/>
          <w:szCs w:val="21"/>
        </w:rPr>
        <w:t>41A4749,</w:t>
      </w:r>
      <w:r w:rsidRPr="00521E15">
        <w:rPr>
          <w:spacing w:val="54"/>
          <w:w w:val="110"/>
          <w:sz w:val="21"/>
          <w:szCs w:val="21"/>
        </w:rPr>
        <w:t xml:space="preserve"> </w:t>
      </w:r>
      <w:r w:rsidRPr="00521E15">
        <w:rPr>
          <w:w w:val="110"/>
          <w:sz w:val="21"/>
          <w:szCs w:val="21"/>
        </w:rPr>
        <w:t>at</w:t>
      </w:r>
      <w:r w:rsidRPr="00521E15">
        <w:rPr>
          <w:spacing w:val="75"/>
          <w:w w:val="110"/>
          <w:sz w:val="21"/>
          <w:szCs w:val="21"/>
        </w:rPr>
        <w:t xml:space="preserve"> </w:t>
      </w:r>
      <w:r w:rsidR="00521E15" w:rsidRPr="00521E15">
        <w:rPr>
          <w:spacing w:val="75"/>
          <w:w w:val="110"/>
          <w:sz w:val="21"/>
          <w:szCs w:val="21"/>
        </w:rPr>
        <w:t>*</w:t>
      </w:r>
      <w:r w:rsidRPr="00521E15">
        <w:rPr>
          <w:w w:val="110"/>
          <w:sz w:val="21"/>
          <w:szCs w:val="21"/>
        </w:rPr>
        <w:t>1</w:t>
      </w:r>
      <w:r w:rsidRPr="00521E15">
        <w:rPr>
          <w:spacing w:val="49"/>
          <w:w w:val="110"/>
          <w:sz w:val="21"/>
          <w:szCs w:val="21"/>
        </w:rPr>
        <w:t xml:space="preserve"> </w:t>
      </w:r>
      <w:r w:rsidRPr="00521E15">
        <w:rPr>
          <w:w w:val="110"/>
          <w:sz w:val="21"/>
          <w:szCs w:val="21"/>
        </w:rPr>
        <w:t>(Tex.</w:t>
      </w:r>
      <w:r w:rsidRPr="00521E15">
        <w:rPr>
          <w:spacing w:val="33"/>
          <w:w w:val="110"/>
          <w:sz w:val="21"/>
          <w:szCs w:val="21"/>
        </w:rPr>
        <w:t xml:space="preserve"> </w:t>
      </w:r>
      <w:r w:rsidRPr="00521E15">
        <w:rPr>
          <w:w w:val="110"/>
          <w:sz w:val="21"/>
          <w:szCs w:val="21"/>
        </w:rPr>
        <w:t>App.—</w:t>
      </w:r>
      <w:r w:rsidRPr="00521E15">
        <w:rPr>
          <w:spacing w:val="-14"/>
          <w:w w:val="110"/>
          <w:sz w:val="21"/>
          <w:szCs w:val="21"/>
        </w:rPr>
        <w:t xml:space="preserve"> </w:t>
      </w:r>
      <w:r w:rsidRPr="00521E15">
        <w:rPr>
          <w:w w:val="110"/>
          <w:sz w:val="21"/>
          <w:szCs w:val="21"/>
        </w:rPr>
        <w:t>Dallas</w:t>
      </w:r>
      <w:r w:rsidRPr="00521E15">
        <w:rPr>
          <w:spacing w:val="42"/>
          <w:w w:val="110"/>
          <w:sz w:val="21"/>
          <w:szCs w:val="21"/>
        </w:rPr>
        <w:t xml:space="preserve"> </w:t>
      </w:r>
      <w:r w:rsidRPr="00521E15">
        <w:rPr>
          <w:spacing w:val="-4"/>
          <w:w w:val="110"/>
          <w:sz w:val="21"/>
          <w:szCs w:val="21"/>
        </w:rPr>
        <w:t>June</w:t>
      </w:r>
      <w:r w:rsidR="00521E15">
        <w:rPr>
          <w:spacing w:val="-4"/>
          <w:w w:val="110"/>
          <w:sz w:val="21"/>
          <w:szCs w:val="21"/>
        </w:rPr>
        <w:t xml:space="preserve"> </w:t>
      </w:r>
      <w:r w:rsidRPr="00521E15">
        <w:rPr>
          <w:w w:val="110"/>
          <w:sz w:val="21"/>
          <w:szCs w:val="21"/>
        </w:rPr>
        <w:t>23,</w:t>
      </w:r>
      <w:r w:rsidRPr="00521E15">
        <w:rPr>
          <w:spacing w:val="12"/>
          <w:w w:val="110"/>
          <w:sz w:val="21"/>
          <w:szCs w:val="21"/>
        </w:rPr>
        <w:t xml:space="preserve"> </w:t>
      </w:r>
      <w:r w:rsidRPr="00521E15">
        <w:rPr>
          <w:w w:val="110"/>
          <w:sz w:val="21"/>
          <w:szCs w:val="21"/>
        </w:rPr>
        <w:t>2023,</w:t>
      </w:r>
      <w:r w:rsidRPr="00521E15">
        <w:rPr>
          <w:spacing w:val="28"/>
          <w:w w:val="110"/>
          <w:sz w:val="21"/>
          <w:szCs w:val="21"/>
        </w:rPr>
        <w:t xml:space="preserve"> </w:t>
      </w:r>
      <w:r w:rsidRPr="00521E15">
        <w:rPr>
          <w:w w:val="110"/>
          <w:sz w:val="21"/>
          <w:szCs w:val="21"/>
        </w:rPr>
        <w:t>no</w:t>
      </w:r>
      <w:r w:rsidRPr="00521E15">
        <w:rPr>
          <w:spacing w:val="17"/>
          <w:w w:val="110"/>
          <w:sz w:val="21"/>
          <w:szCs w:val="21"/>
        </w:rPr>
        <w:t xml:space="preserve"> </w:t>
      </w:r>
      <w:r w:rsidRPr="00521E15">
        <w:rPr>
          <w:w w:val="110"/>
          <w:sz w:val="21"/>
          <w:szCs w:val="21"/>
        </w:rPr>
        <w:t>pet.</w:t>
      </w:r>
      <w:r w:rsidRPr="00521E15">
        <w:rPr>
          <w:spacing w:val="22"/>
          <w:w w:val="110"/>
          <w:sz w:val="21"/>
          <w:szCs w:val="21"/>
        </w:rPr>
        <w:t xml:space="preserve"> </w:t>
      </w:r>
      <w:r w:rsidRPr="00521E15">
        <w:rPr>
          <w:spacing w:val="-4"/>
          <w:w w:val="110"/>
          <w:sz w:val="21"/>
          <w:szCs w:val="21"/>
        </w:rPr>
        <w:t>n.).</w:t>
      </w:r>
    </w:p>
    <w:p w14:paraId="065E65BF" w14:textId="77777777" w:rsidR="008930A7" w:rsidRDefault="008930A7">
      <w:pPr>
        <w:pStyle w:val="BodyText"/>
        <w:spacing w:before="7"/>
        <w:rPr>
          <w:sz w:val="25"/>
        </w:rPr>
      </w:pPr>
    </w:p>
    <w:p w14:paraId="6E71F95F" w14:textId="539AFC34" w:rsidR="008930A7" w:rsidRDefault="00000000">
      <w:pPr>
        <w:tabs>
          <w:tab w:val="left" w:pos="955"/>
          <w:tab w:val="left" w:pos="1513"/>
          <w:tab w:val="left" w:pos="1548"/>
          <w:tab w:val="left" w:pos="1829"/>
          <w:tab w:val="left" w:pos="2101"/>
          <w:tab w:val="left" w:pos="2142"/>
          <w:tab w:val="left" w:pos="2882"/>
          <w:tab w:val="left" w:pos="3088"/>
          <w:tab w:val="left" w:pos="3207"/>
          <w:tab w:val="left" w:pos="3292"/>
          <w:tab w:val="left" w:pos="3609"/>
          <w:tab w:val="left" w:pos="3720"/>
          <w:tab w:val="left" w:pos="3993"/>
        </w:tabs>
        <w:spacing w:line="271" w:lineRule="auto"/>
        <w:ind w:left="458" w:firstLine="10"/>
        <w:rPr>
          <w:sz w:val="21"/>
        </w:rPr>
      </w:pPr>
      <w:r>
        <w:rPr>
          <w:w w:val="115"/>
          <w:sz w:val="21"/>
        </w:rPr>
        <w:t>Appellate</w:t>
      </w:r>
      <w:r>
        <w:rPr>
          <w:spacing w:val="6"/>
          <w:w w:val="115"/>
          <w:sz w:val="21"/>
        </w:rPr>
        <w:t xml:space="preserve"> </w:t>
      </w:r>
      <w:r>
        <w:rPr>
          <w:w w:val="115"/>
          <w:sz w:val="21"/>
        </w:rPr>
        <w:t>specialist</w:t>
      </w:r>
      <w:r>
        <w:rPr>
          <w:spacing w:val="11"/>
          <w:w w:val="115"/>
          <w:sz w:val="21"/>
        </w:rPr>
        <w:t xml:space="preserve"> </w:t>
      </w:r>
      <w:r>
        <w:rPr>
          <w:w w:val="115"/>
          <w:sz w:val="21"/>
        </w:rPr>
        <w:t>William</w:t>
      </w:r>
      <w:r>
        <w:rPr>
          <w:spacing w:val="8"/>
          <w:w w:val="115"/>
          <w:sz w:val="21"/>
        </w:rPr>
        <w:t xml:space="preserve"> </w:t>
      </w:r>
      <w:r>
        <w:rPr>
          <w:w w:val="115"/>
          <w:sz w:val="21"/>
        </w:rPr>
        <w:t xml:space="preserve">Newman </w:t>
      </w:r>
      <w:r>
        <w:rPr>
          <w:spacing w:val="-2"/>
          <w:w w:val="115"/>
          <w:sz w:val="21"/>
        </w:rPr>
        <w:t>handled</w:t>
      </w:r>
      <w:r>
        <w:rPr>
          <w:sz w:val="21"/>
        </w:rPr>
        <w:tab/>
      </w:r>
      <w:r>
        <w:rPr>
          <w:sz w:val="21"/>
        </w:rPr>
        <w:tab/>
      </w:r>
      <w:r>
        <w:rPr>
          <w:spacing w:val="-4"/>
          <w:w w:val="115"/>
          <w:sz w:val="21"/>
        </w:rPr>
        <w:t>the</w:t>
      </w:r>
      <w:r>
        <w:rPr>
          <w:sz w:val="21"/>
        </w:rPr>
        <w:tab/>
      </w:r>
      <w:r>
        <w:rPr>
          <w:sz w:val="21"/>
        </w:rPr>
        <w:tab/>
      </w:r>
      <w:r>
        <w:rPr>
          <w:spacing w:val="-43"/>
          <w:sz w:val="21"/>
        </w:rPr>
        <w:t xml:space="preserve"> </w:t>
      </w:r>
      <w:r>
        <w:rPr>
          <w:spacing w:val="-2"/>
          <w:w w:val="115"/>
          <w:sz w:val="21"/>
        </w:rPr>
        <w:t>litigation</w:t>
      </w:r>
      <w:r>
        <w:rPr>
          <w:sz w:val="21"/>
        </w:rPr>
        <w:tab/>
      </w:r>
      <w:r>
        <w:rPr>
          <w:sz w:val="21"/>
        </w:rPr>
        <w:tab/>
      </w:r>
      <w:r>
        <w:rPr>
          <w:sz w:val="21"/>
        </w:rPr>
        <w:tab/>
      </w:r>
      <w:r>
        <w:rPr>
          <w:spacing w:val="-6"/>
          <w:w w:val="115"/>
          <w:sz w:val="21"/>
        </w:rPr>
        <w:t>in</w:t>
      </w:r>
      <w:r>
        <w:rPr>
          <w:sz w:val="21"/>
        </w:rPr>
        <w:tab/>
      </w:r>
      <w:r>
        <w:rPr>
          <w:sz w:val="21"/>
        </w:rPr>
        <w:tab/>
      </w:r>
      <w:r>
        <w:rPr>
          <w:spacing w:val="-2"/>
          <w:w w:val="115"/>
          <w:sz w:val="21"/>
        </w:rPr>
        <w:t xml:space="preserve">Dallas </w:t>
      </w:r>
      <w:r>
        <w:rPr>
          <w:w w:val="115"/>
          <w:sz w:val="21"/>
        </w:rPr>
        <w:t>District</w:t>
      </w:r>
      <w:r>
        <w:rPr>
          <w:spacing w:val="38"/>
          <w:w w:val="115"/>
          <w:sz w:val="21"/>
        </w:rPr>
        <w:t xml:space="preserve"> </w:t>
      </w:r>
      <w:r>
        <w:rPr>
          <w:w w:val="115"/>
          <w:sz w:val="21"/>
        </w:rPr>
        <w:t>Court</w:t>
      </w:r>
      <w:r>
        <w:rPr>
          <w:spacing w:val="40"/>
          <w:w w:val="115"/>
          <w:sz w:val="21"/>
        </w:rPr>
        <w:t xml:space="preserve"> </w:t>
      </w:r>
      <w:r>
        <w:rPr>
          <w:w w:val="115"/>
          <w:sz w:val="21"/>
        </w:rPr>
        <w:t>and</w:t>
      </w:r>
      <w:r>
        <w:rPr>
          <w:spacing w:val="28"/>
          <w:w w:val="115"/>
          <w:sz w:val="21"/>
        </w:rPr>
        <w:t xml:space="preserve"> </w:t>
      </w:r>
      <w:r>
        <w:rPr>
          <w:w w:val="115"/>
          <w:sz w:val="21"/>
        </w:rPr>
        <w:t>t</w:t>
      </w:r>
      <w:r w:rsidR="00521E15">
        <w:rPr>
          <w:w w:val="115"/>
          <w:sz w:val="21"/>
        </w:rPr>
        <w:t>h</w:t>
      </w:r>
      <w:r>
        <w:rPr>
          <w:w w:val="115"/>
          <w:sz w:val="21"/>
        </w:rPr>
        <w:t>e</w:t>
      </w:r>
      <w:r>
        <w:rPr>
          <w:spacing w:val="40"/>
          <w:w w:val="115"/>
          <w:sz w:val="21"/>
        </w:rPr>
        <w:t xml:space="preserve"> </w:t>
      </w:r>
      <w:r>
        <w:rPr>
          <w:w w:val="115"/>
          <w:sz w:val="21"/>
        </w:rPr>
        <w:t>appeal</w:t>
      </w:r>
      <w:r>
        <w:rPr>
          <w:spacing w:val="40"/>
          <w:w w:val="115"/>
          <w:sz w:val="21"/>
        </w:rPr>
        <w:t xml:space="preserve"> </w:t>
      </w:r>
      <w:r>
        <w:rPr>
          <w:w w:val="115"/>
          <w:sz w:val="21"/>
        </w:rPr>
        <w:t>in</w:t>
      </w:r>
      <w:r>
        <w:rPr>
          <w:spacing w:val="40"/>
          <w:w w:val="115"/>
          <w:sz w:val="21"/>
        </w:rPr>
        <w:t xml:space="preserve"> </w:t>
      </w:r>
      <w:r>
        <w:rPr>
          <w:w w:val="115"/>
          <w:sz w:val="21"/>
        </w:rPr>
        <w:t>the Dallas</w:t>
      </w:r>
      <w:r>
        <w:rPr>
          <w:spacing w:val="80"/>
          <w:w w:val="115"/>
          <w:sz w:val="21"/>
        </w:rPr>
        <w:t xml:space="preserve"> </w:t>
      </w:r>
      <w:r>
        <w:rPr>
          <w:w w:val="115"/>
          <w:sz w:val="21"/>
        </w:rPr>
        <w:t>Court</w:t>
      </w:r>
      <w:r>
        <w:rPr>
          <w:spacing w:val="80"/>
          <w:w w:val="115"/>
          <w:sz w:val="21"/>
        </w:rPr>
        <w:t xml:space="preserve"> </w:t>
      </w:r>
      <w:r>
        <w:rPr>
          <w:w w:val="115"/>
          <w:sz w:val="21"/>
        </w:rPr>
        <w:t>of</w:t>
      </w:r>
      <w:r>
        <w:rPr>
          <w:spacing w:val="80"/>
          <w:w w:val="115"/>
          <w:sz w:val="21"/>
        </w:rPr>
        <w:t xml:space="preserve"> </w:t>
      </w:r>
      <w:r>
        <w:rPr>
          <w:w w:val="115"/>
          <w:sz w:val="21"/>
        </w:rPr>
        <w:t>Appeals.</w:t>
      </w:r>
      <w:r>
        <w:rPr>
          <w:spacing w:val="80"/>
          <w:w w:val="115"/>
          <w:sz w:val="21"/>
        </w:rPr>
        <w:t xml:space="preserve"> </w:t>
      </w:r>
      <w:r>
        <w:rPr>
          <w:w w:val="115"/>
          <w:sz w:val="21"/>
        </w:rPr>
        <w:t>The</w:t>
      </w:r>
      <w:r>
        <w:rPr>
          <w:spacing w:val="80"/>
          <w:w w:val="115"/>
          <w:sz w:val="21"/>
        </w:rPr>
        <w:t xml:space="preserve"> </w:t>
      </w:r>
      <w:r>
        <w:rPr>
          <w:w w:val="115"/>
          <w:sz w:val="21"/>
        </w:rPr>
        <w:t>trial Court</w:t>
      </w:r>
      <w:r>
        <w:rPr>
          <w:spacing w:val="80"/>
          <w:w w:val="115"/>
          <w:sz w:val="21"/>
        </w:rPr>
        <w:t xml:space="preserve"> </w:t>
      </w:r>
      <w:r>
        <w:rPr>
          <w:w w:val="115"/>
          <w:sz w:val="21"/>
        </w:rPr>
        <w:t>granted</w:t>
      </w:r>
      <w:r>
        <w:rPr>
          <w:spacing w:val="80"/>
          <w:w w:val="115"/>
          <w:sz w:val="21"/>
        </w:rPr>
        <w:t xml:space="preserve"> </w:t>
      </w:r>
      <w:r>
        <w:rPr>
          <w:w w:val="115"/>
          <w:sz w:val="21"/>
        </w:rPr>
        <w:t>summary</w:t>
      </w:r>
      <w:r>
        <w:rPr>
          <w:spacing w:val="80"/>
          <w:w w:val="115"/>
          <w:sz w:val="21"/>
        </w:rPr>
        <w:t xml:space="preserve"> </w:t>
      </w:r>
      <w:r>
        <w:rPr>
          <w:w w:val="115"/>
          <w:sz w:val="21"/>
        </w:rPr>
        <w:t xml:space="preserve">judgment </w:t>
      </w:r>
      <w:r>
        <w:rPr>
          <w:spacing w:val="-6"/>
          <w:w w:val="115"/>
          <w:sz w:val="21"/>
        </w:rPr>
        <w:t>on</w:t>
      </w:r>
      <w:r>
        <w:rPr>
          <w:sz w:val="21"/>
        </w:rPr>
        <w:tab/>
      </w:r>
      <w:r>
        <w:rPr>
          <w:spacing w:val="-2"/>
          <w:w w:val="115"/>
          <w:sz w:val="21"/>
        </w:rPr>
        <w:t>premises</w:t>
      </w:r>
      <w:r>
        <w:rPr>
          <w:sz w:val="21"/>
        </w:rPr>
        <w:tab/>
      </w:r>
      <w:r>
        <w:rPr>
          <w:sz w:val="21"/>
        </w:rPr>
        <w:tab/>
      </w:r>
      <w:r>
        <w:rPr>
          <w:spacing w:val="-2"/>
          <w:w w:val="115"/>
          <w:sz w:val="21"/>
        </w:rPr>
        <w:t>liability</w:t>
      </w:r>
      <w:r>
        <w:rPr>
          <w:sz w:val="21"/>
        </w:rPr>
        <w:tab/>
      </w:r>
      <w:r>
        <w:rPr>
          <w:spacing w:val="-2"/>
          <w:w w:val="115"/>
          <w:sz w:val="21"/>
        </w:rPr>
        <w:t>issues.</w:t>
      </w:r>
      <w:r>
        <w:rPr>
          <w:sz w:val="21"/>
        </w:rPr>
        <w:tab/>
      </w:r>
      <w:r>
        <w:rPr>
          <w:spacing w:val="-36"/>
          <w:sz w:val="21"/>
        </w:rPr>
        <w:t xml:space="preserve"> </w:t>
      </w:r>
      <w:r>
        <w:rPr>
          <w:w w:val="115"/>
          <w:sz w:val="21"/>
        </w:rPr>
        <w:t xml:space="preserve">We </w:t>
      </w:r>
      <w:r>
        <w:rPr>
          <w:spacing w:val="-2"/>
          <w:w w:val="115"/>
          <w:sz w:val="21"/>
        </w:rPr>
        <w:t>successfully</w:t>
      </w:r>
      <w:r>
        <w:rPr>
          <w:sz w:val="21"/>
        </w:rPr>
        <w:tab/>
      </w:r>
      <w:r>
        <w:rPr>
          <w:sz w:val="21"/>
        </w:rPr>
        <w:tab/>
      </w:r>
      <w:r>
        <w:rPr>
          <w:spacing w:val="-2"/>
          <w:w w:val="115"/>
          <w:sz w:val="21"/>
        </w:rPr>
        <w:t>argued</w:t>
      </w:r>
      <w:r>
        <w:rPr>
          <w:sz w:val="21"/>
        </w:rPr>
        <w:tab/>
      </w:r>
      <w:r>
        <w:rPr>
          <w:sz w:val="21"/>
        </w:rPr>
        <w:tab/>
      </w:r>
      <w:r>
        <w:rPr>
          <w:sz w:val="21"/>
        </w:rPr>
        <w:tab/>
      </w:r>
      <w:r>
        <w:rPr>
          <w:spacing w:val="-4"/>
          <w:w w:val="115"/>
          <w:sz w:val="21"/>
        </w:rPr>
        <w:t>that</w:t>
      </w:r>
      <w:r>
        <w:rPr>
          <w:sz w:val="21"/>
        </w:rPr>
        <w:tab/>
      </w:r>
      <w:r>
        <w:rPr>
          <w:sz w:val="21"/>
        </w:rPr>
        <w:tab/>
      </w:r>
      <w:r>
        <w:rPr>
          <w:sz w:val="21"/>
        </w:rPr>
        <w:tab/>
      </w:r>
      <w:r>
        <w:rPr>
          <w:spacing w:val="-4"/>
          <w:w w:val="115"/>
          <w:sz w:val="21"/>
        </w:rPr>
        <w:t xml:space="preserve">the </w:t>
      </w:r>
      <w:r>
        <w:rPr>
          <w:spacing w:val="-2"/>
          <w:w w:val="115"/>
          <w:sz w:val="21"/>
        </w:rPr>
        <w:t>plaintiff,</w:t>
      </w:r>
      <w:r>
        <w:rPr>
          <w:sz w:val="21"/>
        </w:rPr>
        <w:tab/>
      </w:r>
      <w:r>
        <w:rPr>
          <w:spacing w:val="-10"/>
          <w:w w:val="115"/>
          <w:sz w:val="21"/>
        </w:rPr>
        <w:t>a</w:t>
      </w:r>
      <w:r>
        <w:rPr>
          <w:sz w:val="21"/>
        </w:rPr>
        <w:tab/>
      </w:r>
      <w:r>
        <w:rPr>
          <w:spacing w:val="-2"/>
          <w:w w:val="115"/>
          <w:sz w:val="21"/>
        </w:rPr>
        <w:t>resident</w:t>
      </w:r>
      <w:r>
        <w:rPr>
          <w:sz w:val="21"/>
        </w:rPr>
        <w:tab/>
      </w:r>
      <w:r>
        <w:rPr>
          <w:spacing w:val="-6"/>
          <w:w w:val="115"/>
          <w:sz w:val="21"/>
        </w:rPr>
        <w:t>of</w:t>
      </w:r>
      <w:r>
        <w:rPr>
          <w:sz w:val="21"/>
        </w:rPr>
        <w:tab/>
      </w:r>
      <w:r>
        <w:rPr>
          <w:sz w:val="21"/>
        </w:rPr>
        <w:tab/>
      </w:r>
      <w:r>
        <w:rPr>
          <w:sz w:val="21"/>
        </w:rPr>
        <w:tab/>
      </w:r>
      <w:r>
        <w:rPr>
          <w:spacing w:val="-46"/>
          <w:sz w:val="21"/>
        </w:rPr>
        <w:t xml:space="preserve"> </w:t>
      </w:r>
      <w:r>
        <w:rPr>
          <w:spacing w:val="-10"/>
          <w:w w:val="115"/>
          <w:sz w:val="21"/>
        </w:rPr>
        <w:t>a</w:t>
      </w:r>
      <w:r>
        <w:rPr>
          <w:sz w:val="21"/>
        </w:rPr>
        <w:tab/>
      </w:r>
      <w:r>
        <w:rPr>
          <w:spacing w:val="-2"/>
          <w:w w:val="115"/>
          <w:sz w:val="21"/>
        </w:rPr>
        <w:t xml:space="preserve">nearby </w:t>
      </w:r>
      <w:r>
        <w:rPr>
          <w:w w:val="115"/>
          <w:sz w:val="21"/>
        </w:rPr>
        <w:t>community,</w:t>
      </w:r>
      <w:r>
        <w:rPr>
          <w:spacing w:val="40"/>
          <w:w w:val="115"/>
          <w:sz w:val="21"/>
        </w:rPr>
        <w:t xml:space="preserve"> </w:t>
      </w:r>
      <w:r>
        <w:rPr>
          <w:w w:val="115"/>
          <w:sz w:val="21"/>
        </w:rPr>
        <w:t>was</w:t>
      </w:r>
      <w:r>
        <w:rPr>
          <w:spacing w:val="30"/>
          <w:w w:val="115"/>
          <w:sz w:val="21"/>
        </w:rPr>
        <w:t xml:space="preserve"> </w:t>
      </w:r>
      <w:r>
        <w:rPr>
          <w:w w:val="115"/>
          <w:sz w:val="21"/>
        </w:rPr>
        <w:t>either</w:t>
      </w:r>
      <w:r>
        <w:rPr>
          <w:spacing w:val="40"/>
          <w:w w:val="115"/>
          <w:sz w:val="21"/>
        </w:rPr>
        <w:t xml:space="preserve"> </w:t>
      </w:r>
      <w:r>
        <w:rPr>
          <w:w w:val="115"/>
          <w:sz w:val="21"/>
        </w:rPr>
        <w:t>a</w:t>
      </w:r>
      <w:r>
        <w:rPr>
          <w:spacing w:val="40"/>
          <w:w w:val="115"/>
          <w:sz w:val="21"/>
        </w:rPr>
        <w:t xml:space="preserve"> </w:t>
      </w:r>
      <w:r>
        <w:rPr>
          <w:w w:val="115"/>
          <w:sz w:val="21"/>
        </w:rPr>
        <w:t>trespasser or</w:t>
      </w:r>
      <w:r>
        <w:rPr>
          <w:spacing w:val="30"/>
          <w:w w:val="115"/>
          <w:sz w:val="21"/>
        </w:rPr>
        <w:t xml:space="preserve"> </w:t>
      </w:r>
      <w:r>
        <w:rPr>
          <w:w w:val="115"/>
          <w:sz w:val="21"/>
        </w:rPr>
        <w:t>licensee on the common</w:t>
      </w:r>
      <w:r>
        <w:rPr>
          <w:spacing w:val="40"/>
          <w:w w:val="115"/>
          <w:sz w:val="21"/>
        </w:rPr>
        <w:t xml:space="preserve"> </w:t>
      </w:r>
      <w:r>
        <w:rPr>
          <w:w w:val="115"/>
          <w:sz w:val="21"/>
        </w:rPr>
        <w:t>property of</w:t>
      </w:r>
      <w:r>
        <w:rPr>
          <w:spacing w:val="80"/>
          <w:w w:val="115"/>
          <w:sz w:val="21"/>
        </w:rPr>
        <w:t xml:space="preserve"> </w:t>
      </w:r>
      <w:r>
        <w:rPr>
          <w:w w:val="115"/>
          <w:sz w:val="21"/>
        </w:rPr>
        <w:t>the</w:t>
      </w:r>
      <w:r>
        <w:rPr>
          <w:spacing w:val="80"/>
          <w:w w:val="115"/>
          <w:sz w:val="21"/>
        </w:rPr>
        <w:t xml:space="preserve"> </w:t>
      </w:r>
      <w:r>
        <w:rPr>
          <w:w w:val="115"/>
          <w:sz w:val="21"/>
        </w:rPr>
        <w:t>defendant</w:t>
      </w:r>
      <w:r>
        <w:rPr>
          <w:spacing w:val="80"/>
          <w:w w:val="115"/>
          <w:sz w:val="21"/>
        </w:rPr>
        <w:t xml:space="preserve"> </w:t>
      </w:r>
      <w:r>
        <w:rPr>
          <w:w w:val="115"/>
          <w:sz w:val="21"/>
        </w:rPr>
        <w:t>community</w:t>
      </w:r>
      <w:r>
        <w:rPr>
          <w:spacing w:val="80"/>
          <w:w w:val="115"/>
          <w:sz w:val="21"/>
        </w:rPr>
        <w:t xml:space="preserve"> </w:t>
      </w:r>
      <w:r>
        <w:rPr>
          <w:w w:val="115"/>
          <w:sz w:val="21"/>
        </w:rPr>
        <w:t>an</w:t>
      </w:r>
      <w:r w:rsidR="00190BAD">
        <w:rPr>
          <w:w w:val="115"/>
          <w:sz w:val="21"/>
        </w:rPr>
        <w:t>d</w:t>
      </w:r>
      <w:r>
        <w:rPr>
          <w:w w:val="115"/>
          <w:sz w:val="21"/>
        </w:rPr>
        <w:t xml:space="preserve"> community</w:t>
      </w:r>
      <w:r>
        <w:rPr>
          <w:spacing w:val="80"/>
          <w:w w:val="115"/>
          <w:sz w:val="21"/>
        </w:rPr>
        <w:t xml:space="preserve"> </w:t>
      </w:r>
      <w:r>
        <w:rPr>
          <w:w w:val="115"/>
          <w:sz w:val="21"/>
        </w:rPr>
        <w:t>management</w:t>
      </w:r>
      <w:r>
        <w:rPr>
          <w:spacing w:val="80"/>
          <w:w w:val="115"/>
          <w:sz w:val="21"/>
        </w:rPr>
        <w:t xml:space="preserve"> </w:t>
      </w:r>
      <w:r>
        <w:rPr>
          <w:w w:val="115"/>
          <w:sz w:val="21"/>
        </w:rPr>
        <w:t xml:space="preserve">company, and that the </w:t>
      </w:r>
      <w:r w:rsidR="00521E15">
        <w:rPr>
          <w:w w:val="115"/>
          <w:sz w:val="21"/>
        </w:rPr>
        <w:t>d</w:t>
      </w:r>
      <w:r>
        <w:rPr>
          <w:w w:val="115"/>
          <w:sz w:val="21"/>
        </w:rPr>
        <w:t>efendants</w:t>
      </w:r>
      <w:r>
        <w:rPr>
          <w:spacing w:val="40"/>
          <w:w w:val="115"/>
          <w:sz w:val="21"/>
        </w:rPr>
        <w:t xml:space="preserve"> </w:t>
      </w:r>
      <w:r>
        <w:rPr>
          <w:w w:val="115"/>
          <w:sz w:val="21"/>
        </w:rPr>
        <w:t>lacke</w:t>
      </w:r>
      <w:r w:rsidR="00521E15">
        <w:rPr>
          <w:w w:val="115"/>
          <w:sz w:val="21"/>
        </w:rPr>
        <w:t>d</w:t>
      </w:r>
    </w:p>
    <w:p w14:paraId="25789911" w14:textId="77777777" w:rsidR="008930A7" w:rsidRDefault="00000000">
      <w:pPr>
        <w:rPr>
          <w:sz w:val="44"/>
        </w:rPr>
      </w:pPr>
      <w:r>
        <w:br w:type="column"/>
      </w:r>
    </w:p>
    <w:p w14:paraId="1E94D5DA" w14:textId="77777777" w:rsidR="008930A7" w:rsidRDefault="008930A7">
      <w:pPr>
        <w:pStyle w:val="BodyText"/>
        <w:rPr>
          <w:sz w:val="44"/>
        </w:rPr>
      </w:pPr>
    </w:p>
    <w:p w14:paraId="4EDCDA45" w14:textId="77777777" w:rsidR="008930A7" w:rsidRDefault="008930A7">
      <w:pPr>
        <w:pStyle w:val="BodyText"/>
        <w:rPr>
          <w:sz w:val="44"/>
        </w:rPr>
      </w:pPr>
    </w:p>
    <w:p w14:paraId="09AE6D40" w14:textId="77777777" w:rsidR="008930A7" w:rsidRDefault="008930A7">
      <w:pPr>
        <w:pStyle w:val="BodyText"/>
        <w:rPr>
          <w:sz w:val="44"/>
        </w:rPr>
      </w:pPr>
    </w:p>
    <w:p w14:paraId="03A1DE1C" w14:textId="77777777" w:rsidR="008930A7" w:rsidRDefault="008930A7">
      <w:pPr>
        <w:pStyle w:val="BodyText"/>
        <w:rPr>
          <w:sz w:val="44"/>
        </w:rPr>
      </w:pPr>
    </w:p>
    <w:p w14:paraId="73D291F0" w14:textId="77777777" w:rsidR="008930A7" w:rsidRDefault="008930A7">
      <w:pPr>
        <w:pStyle w:val="BodyText"/>
        <w:spacing w:before="2"/>
        <w:rPr>
          <w:sz w:val="41"/>
        </w:rPr>
      </w:pPr>
    </w:p>
    <w:p w14:paraId="7035A61C" w14:textId="77777777" w:rsidR="008930A7" w:rsidRPr="00206AE8" w:rsidRDefault="00000000">
      <w:pPr>
        <w:ind w:left="121"/>
        <w:rPr>
          <w:rFonts w:ascii="Bookman Old Style" w:hAnsi="Bookman Old Style"/>
          <w:b/>
          <w:bCs/>
          <w:i/>
          <w:sz w:val="29"/>
          <w:szCs w:val="29"/>
        </w:rPr>
      </w:pPr>
      <w:r w:rsidRPr="00206AE8">
        <w:rPr>
          <w:rFonts w:ascii="Bookman Old Style" w:hAnsi="Bookman Old Style"/>
          <w:b/>
          <w:bCs/>
          <w:noProof/>
          <w:sz w:val="29"/>
          <w:szCs w:val="29"/>
        </w:rPr>
        <w:drawing>
          <wp:anchor distT="0" distB="0" distL="0" distR="0" simplePos="0" relativeHeight="251656192" behindDoc="0" locked="0" layoutInCell="1" allowOverlap="1" wp14:anchorId="1649469F" wp14:editId="2E1C2232">
            <wp:simplePos x="0" y="0"/>
            <wp:positionH relativeFrom="page">
              <wp:posOffset>3226465</wp:posOffset>
            </wp:positionH>
            <wp:positionV relativeFrom="paragraph">
              <wp:posOffset>-4324770</wp:posOffset>
            </wp:positionV>
            <wp:extent cx="4315355" cy="431253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4315355" cy="4312539"/>
                    </a:xfrm>
                    <a:prstGeom prst="rect">
                      <a:avLst/>
                    </a:prstGeom>
                  </pic:spPr>
                </pic:pic>
              </a:graphicData>
            </a:graphic>
          </wp:anchor>
        </w:drawing>
      </w:r>
      <w:r w:rsidRPr="00206AE8">
        <w:rPr>
          <w:rFonts w:ascii="Bookman Old Style" w:hAnsi="Bookman Old Style"/>
          <w:b/>
          <w:bCs/>
          <w:spacing w:val="-2"/>
          <w:sz w:val="29"/>
          <w:szCs w:val="29"/>
        </w:rPr>
        <w:t>Premises</w:t>
      </w:r>
      <w:r w:rsidRPr="00206AE8">
        <w:rPr>
          <w:rFonts w:ascii="Bookman Old Style" w:hAnsi="Bookman Old Style"/>
          <w:b/>
          <w:bCs/>
          <w:spacing w:val="-15"/>
          <w:sz w:val="29"/>
          <w:szCs w:val="29"/>
        </w:rPr>
        <w:t xml:space="preserve"> </w:t>
      </w:r>
      <w:r w:rsidRPr="00206AE8">
        <w:rPr>
          <w:rFonts w:ascii="Bookman Old Style" w:hAnsi="Bookman Old Style"/>
          <w:b/>
          <w:bCs/>
          <w:spacing w:val="-2"/>
          <w:sz w:val="29"/>
          <w:szCs w:val="29"/>
        </w:rPr>
        <w:t>Liability:</w:t>
      </w:r>
      <w:r w:rsidRPr="00206AE8">
        <w:rPr>
          <w:rFonts w:ascii="Bookman Old Style" w:hAnsi="Bookman Old Style"/>
          <w:b/>
          <w:bCs/>
          <w:spacing w:val="-3"/>
          <w:sz w:val="29"/>
          <w:szCs w:val="29"/>
        </w:rPr>
        <w:t xml:space="preserve"> </w:t>
      </w:r>
      <w:r w:rsidRPr="00206AE8">
        <w:rPr>
          <w:rFonts w:ascii="Bookman Old Style" w:hAnsi="Bookman Old Style"/>
          <w:b/>
          <w:bCs/>
          <w:i/>
          <w:spacing w:val="-4"/>
          <w:sz w:val="29"/>
          <w:szCs w:val="29"/>
        </w:rPr>
        <w:t>cont.</w:t>
      </w:r>
    </w:p>
    <w:p w14:paraId="55327F2D" w14:textId="73ED54D0" w:rsidR="008930A7" w:rsidRDefault="00000000">
      <w:pPr>
        <w:pStyle w:val="BodyText"/>
        <w:tabs>
          <w:tab w:val="left" w:pos="1433"/>
          <w:tab w:val="left" w:pos="2072"/>
          <w:tab w:val="left" w:pos="2620"/>
          <w:tab w:val="left" w:pos="3886"/>
          <w:tab w:val="left" w:pos="4487"/>
          <w:tab w:val="left" w:pos="5810"/>
          <w:tab w:val="left" w:pos="6226"/>
        </w:tabs>
        <w:spacing w:before="24" w:line="259" w:lineRule="auto"/>
        <w:ind w:left="108" w:right="9" w:firstLine="18"/>
      </w:pPr>
      <w:r>
        <w:rPr>
          <w:w w:val="105"/>
        </w:rPr>
        <w:t>actual</w:t>
      </w:r>
      <w:r>
        <w:rPr>
          <w:spacing w:val="40"/>
          <w:w w:val="105"/>
        </w:rPr>
        <w:t xml:space="preserve"> </w:t>
      </w:r>
      <w:r>
        <w:rPr>
          <w:w w:val="105"/>
        </w:rPr>
        <w:t>notice</w:t>
      </w:r>
      <w:r>
        <w:rPr>
          <w:spacing w:val="40"/>
          <w:w w:val="105"/>
        </w:rPr>
        <w:t xml:space="preserve"> </w:t>
      </w:r>
      <w:r>
        <w:rPr>
          <w:w w:val="105"/>
        </w:rPr>
        <w:t>of</w:t>
      </w:r>
      <w:r>
        <w:rPr>
          <w:spacing w:val="40"/>
          <w:w w:val="105"/>
        </w:rPr>
        <w:t xml:space="preserve"> </w:t>
      </w:r>
      <w:r>
        <w:rPr>
          <w:w w:val="105"/>
        </w:rPr>
        <w:t>any</w:t>
      </w:r>
      <w:r>
        <w:rPr>
          <w:spacing w:val="40"/>
          <w:w w:val="105"/>
        </w:rPr>
        <w:t xml:space="preserve"> </w:t>
      </w:r>
      <w:r>
        <w:rPr>
          <w:w w:val="105"/>
        </w:rPr>
        <w:t>unreasonably</w:t>
      </w:r>
      <w:r>
        <w:rPr>
          <w:spacing w:val="40"/>
          <w:w w:val="105"/>
        </w:rPr>
        <w:t xml:space="preserve"> </w:t>
      </w:r>
      <w:r>
        <w:rPr>
          <w:w w:val="105"/>
        </w:rPr>
        <w:t>dangerous</w:t>
      </w:r>
      <w:r>
        <w:rPr>
          <w:spacing w:val="40"/>
          <w:w w:val="105"/>
        </w:rPr>
        <w:t xml:space="preserve"> </w:t>
      </w:r>
      <w:r>
        <w:rPr>
          <w:w w:val="105"/>
        </w:rPr>
        <w:t>condition.</w:t>
      </w:r>
      <w:r>
        <w:rPr>
          <w:spacing w:val="40"/>
          <w:w w:val="105"/>
        </w:rPr>
        <w:t xml:space="preserve"> </w:t>
      </w:r>
      <w:r>
        <w:rPr>
          <w:w w:val="105"/>
        </w:rPr>
        <w:t>T</w:t>
      </w:r>
      <w:r w:rsidR="00521E15">
        <w:rPr>
          <w:w w:val="105"/>
        </w:rPr>
        <w:t>h</w:t>
      </w:r>
      <w:r>
        <w:rPr>
          <w:w w:val="105"/>
        </w:rPr>
        <w:t>e</w:t>
      </w:r>
      <w:r>
        <w:rPr>
          <w:spacing w:val="40"/>
          <w:w w:val="105"/>
        </w:rPr>
        <w:t xml:space="preserve"> </w:t>
      </w:r>
      <w:r>
        <w:rPr>
          <w:w w:val="105"/>
        </w:rPr>
        <w:t>pl</w:t>
      </w:r>
      <w:r w:rsidR="00521E15">
        <w:rPr>
          <w:w w:val="105"/>
        </w:rPr>
        <w:t>aintiff</w:t>
      </w:r>
      <w:r>
        <w:rPr>
          <w:w w:val="105"/>
        </w:rPr>
        <w:t xml:space="preserve"> alleged</w:t>
      </w:r>
      <w:r>
        <w:rPr>
          <w:spacing w:val="40"/>
          <w:w w:val="105"/>
        </w:rPr>
        <w:t xml:space="preserve"> </w:t>
      </w:r>
      <w:r>
        <w:rPr>
          <w:w w:val="105"/>
        </w:rPr>
        <w:t>she</w:t>
      </w:r>
      <w:r>
        <w:rPr>
          <w:spacing w:val="36"/>
          <w:w w:val="105"/>
        </w:rPr>
        <w:t xml:space="preserve"> </w:t>
      </w:r>
      <w:r>
        <w:rPr>
          <w:w w:val="105"/>
        </w:rPr>
        <w:t>slipped</w:t>
      </w:r>
      <w:r>
        <w:rPr>
          <w:spacing w:val="40"/>
          <w:w w:val="105"/>
        </w:rPr>
        <w:t xml:space="preserve"> </w:t>
      </w:r>
      <w:r>
        <w:rPr>
          <w:w w:val="105"/>
        </w:rPr>
        <w:t>and</w:t>
      </w:r>
      <w:r>
        <w:rPr>
          <w:spacing w:val="38"/>
          <w:w w:val="105"/>
        </w:rPr>
        <w:t xml:space="preserve"> </w:t>
      </w:r>
      <w:r>
        <w:rPr>
          <w:w w:val="105"/>
        </w:rPr>
        <w:t>fell</w:t>
      </w:r>
      <w:r>
        <w:rPr>
          <w:spacing w:val="32"/>
          <w:w w:val="105"/>
        </w:rPr>
        <w:t xml:space="preserve"> </w:t>
      </w:r>
      <w:r>
        <w:rPr>
          <w:w w:val="105"/>
        </w:rPr>
        <w:t>on</w:t>
      </w:r>
      <w:r>
        <w:rPr>
          <w:spacing w:val="40"/>
          <w:w w:val="105"/>
        </w:rPr>
        <w:t xml:space="preserve"> </w:t>
      </w:r>
      <w:r>
        <w:rPr>
          <w:w w:val="105"/>
        </w:rPr>
        <w:t>her</w:t>
      </w:r>
      <w:r>
        <w:rPr>
          <w:spacing w:val="40"/>
          <w:w w:val="105"/>
        </w:rPr>
        <w:t xml:space="preserve"> </w:t>
      </w:r>
      <w:r>
        <w:rPr>
          <w:w w:val="105"/>
        </w:rPr>
        <w:t>bicycle,</w:t>
      </w:r>
      <w:r>
        <w:rPr>
          <w:spacing w:val="40"/>
          <w:w w:val="105"/>
        </w:rPr>
        <w:t xml:space="preserve"> </w:t>
      </w:r>
      <w:r>
        <w:rPr>
          <w:w w:val="105"/>
        </w:rPr>
        <w:t>sustaining</w:t>
      </w:r>
      <w:r>
        <w:rPr>
          <w:spacing w:val="40"/>
          <w:w w:val="105"/>
        </w:rPr>
        <w:t xml:space="preserve"> </w:t>
      </w:r>
      <w:r>
        <w:rPr>
          <w:w w:val="105"/>
        </w:rPr>
        <w:t>serious</w:t>
      </w:r>
      <w:r>
        <w:rPr>
          <w:spacing w:val="40"/>
          <w:w w:val="105"/>
        </w:rPr>
        <w:t xml:space="preserve"> </w:t>
      </w:r>
      <w:r>
        <w:rPr>
          <w:w w:val="105"/>
        </w:rPr>
        <w:t>inj</w:t>
      </w:r>
      <w:r w:rsidR="00521E15">
        <w:rPr>
          <w:w w:val="105"/>
        </w:rPr>
        <w:t>uries</w:t>
      </w:r>
      <w:r>
        <w:rPr>
          <w:w w:val="105"/>
        </w:rPr>
        <w:t xml:space="preserve"> that</w:t>
      </w:r>
      <w:r>
        <w:rPr>
          <w:spacing w:val="80"/>
          <w:w w:val="105"/>
        </w:rPr>
        <w:t xml:space="preserve"> </w:t>
      </w:r>
      <w:r>
        <w:rPr>
          <w:w w:val="105"/>
        </w:rPr>
        <w:t>required</w:t>
      </w:r>
      <w:r>
        <w:rPr>
          <w:spacing w:val="80"/>
          <w:w w:val="105"/>
        </w:rPr>
        <w:t xml:space="preserve"> </w:t>
      </w:r>
      <w:r>
        <w:rPr>
          <w:w w:val="105"/>
        </w:rPr>
        <w:t>at</w:t>
      </w:r>
      <w:r>
        <w:rPr>
          <w:spacing w:val="80"/>
          <w:w w:val="105"/>
        </w:rPr>
        <w:t xml:space="preserve"> </w:t>
      </w:r>
      <w:r>
        <w:rPr>
          <w:w w:val="105"/>
        </w:rPr>
        <w:t>least</w:t>
      </w:r>
      <w:r>
        <w:rPr>
          <w:spacing w:val="80"/>
          <w:w w:val="105"/>
        </w:rPr>
        <w:t xml:space="preserve"> </w:t>
      </w:r>
      <w:r>
        <w:rPr>
          <w:w w:val="105"/>
        </w:rPr>
        <w:t>$300,000</w:t>
      </w:r>
      <w:r>
        <w:rPr>
          <w:spacing w:val="80"/>
          <w:w w:val="105"/>
        </w:rPr>
        <w:t xml:space="preserve"> </w:t>
      </w:r>
      <w:r>
        <w:rPr>
          <w:w w:val="105"/>
        </w:rPr>
        <w:t>in</w:t>
      </w:r>
      <w:r>
        <w:rPr>
          <w:spacing w:val="80"/>
          <w:w w:val="105"/>
        </w:rPr>
        <w:t xml:space="preserve"> </w:t>
      </w:r>
      <w:r>
        <w:rPr>
          <w:w w:val="105"/>
        </w:rPr>
        <w:t>past</w:t>
      </w:r>
      <w:r>
        <w:rPr>
          <w:spacing w:val="80"/>
          <w:w w:val="105"/>
        </w:rPr>
        <w:t xml:space="preserve"> </w:t>
      </w:r>
      <w:r>
        <w:rPr>
          <w:w w:val="105"/>
        </w:rPr>
        <w:t>medical</w:t>
      </w:r>
      <w:r>
        <w:rPr>
          <w:spacing w:val="80"/>
          <w:w w:val="105"/>
        </w:rPr>
        <w:t xml:space="preserve"> </w:t>
      </w:r>
      <w:r>
        <w:rPr>
          <w:w w:val="105"/>
        </w:rPr>
        <w:t>for</w:t>
      </w:r>
      <w:r>
        <w:rPr>
          <w:spacing w:val="80"/>
          <w:w w:val="105"/>
        </w:rPr>
        <w:t xml:space="preserve"> </w:t>
      </w:r>
      <w:r>
        <w:rPr>
          <w:w w:val="105"/>
        </w:rPr>
        <w:t>surgeri</w:t>
      </w:r>
      <w:r w:rsidR="00521E15">
        <w:rPr>
          <w:w w:val="105"/>
        </w:rPr>
        <w:t>es to</w:t>
      </w:r>
      <w:r>
        <w:rPr>
          <w:spacing w:val="40"/>
          <w:w w:val="105"/>
        </w:rPr>
        <w:t xml:space="preserve"> </w:t>
      </w:r>
      <w:r>
        <w:rPr>
          <w:w w:val="105"/>
        </w:rPr>
        <w:t>reconstruct</w:t>
      </w:r>
      <w:r>
        <w:rPr>
          <w:spacing w:val="40"/>
          <w:w w:val="105"/>
        </w:rPr>
        <w:t xml:space="preserve"> </w:t>
      </w:r>
      <w:r w:rsidR="00521E15">
        <w:rPr>
          <w:w w:val="105"/>
        </w:rPr>
        <w:t>h</w:t>
      </w:r>
      <w:r>
        <w:rPr>
          <w:w w:val="105"/>
        </w:rPr>
        <w:t>er</w:t>
      </w:r>
      <w:r>
        <w:rPr>
          <w:spacing w:val="31"/>
          <w:w w:val="105"/>
        </w:rPr>
        <w:t xml:space="preserve"> </w:t>
      </w:r>
      <w:r>
        <w:rPr>
          <w:w w:val="105"/>
        </w:rPr>
        <w:t>elbow</w:t>
      </w:r>
      <w:r>
        <w:rPr>
          <w:spacing w:val="40"/>
          <w:w w:val="105"/>
        </w:rPr>
        <w:t xml:space="preserve"> </w:t>
      </w:r>
      <w:r>
        <w:rPr>
          <w:w w:val="105"/>
        </w:rPr>
        <w:t>and</w:t>
      </w:r>
      <w:r>
        <w:rPr>
          <w:spacing w:val="40"/>
          <w:w w:val="105"/>
        </w:rPr>
        <w:t xml:space="preserve"> </w:t>
      </w:r>
      <w:r>
        <w:rPr>
          <w:w w:val="105"/>
        </w:rPr>
        <w:t>ot</w:t>
      </w:r>
      <w:r w:rsidR="00521E15">
        <w:rPr>
          <w:w w:val="105"/>
        </w:rPr>
        <w:t>h</w:t>
      </w:r>
      <w:r>
        <w:rPr>
          <w:w w:val="105"/>
        </w:rPr>
        <w:t>er</w:t>
      </w:r>
      <w:r>
        <w:rPr>
          <w:spacing w:val="40"/>
          <w:w w:val="105"/>
        </w:rPr>
        <w:t xml:space="preserve"> </w:t>
      </w:r>
      <w:r>
        <w:rPr>
          <w:w w:val="105"/>
        </w:rPr>
        <w:t>care.</w:t>
      </w:r>
      <w:r>
        <w:rPr>
          <w:spacing w:val="36"/>
          <w:w w:val="105"/>
        </w:rPr>
        <w:t xml:space="preserve"> </w:t>
      </w:r>
      <w:r>
        <w:rPr>
          <w:w w:val="105"/>
        </w:rPr>
        <w:t>The</w:t>
      </w:r>
      <w:r>
        <w:rPr>
          <w:spacing w:val="32"/>
          <w:w w:val="105"/>
        </w:rPr>
        <w:t xml:space="preserve"> </w:t>
      </w:r>
      <w:r>
        <w:rPr>
          <w:w w:val="105"/>
        </w:rPr>
        <w:t>Court</w:t>
      </w:r>
      <w:r>
        <w:rPr>
          <w:spacing w:val="40"/>
          <w:w w:val="105"/>
        </w:rPr>
        <w:t xml:space="preserve"> </w:t>
      </w:r>
      <w:r>
        <w:rPr>
          <w:w w:val="105"/>
        </w:rPr>
        <w:t>of</w:t>
      </w:r>
      <w:r>
        <w:rPr>
          <w:spacing w:val="40"/>
          <w:w w:val="105"/>
        </w:rPr>
        <w:t xml:space="preserve"> </w:t>
      </w:r>
      <w:r>
        <w:rPr>
          <w:w w:val="105"/>
        </w:rPr>
        <w:t>Appeals</w:t>
      </w:r>
      <w:r>
        <w:rPr>
          <w:spacing w:val="40"/>
          <w:w w:val="105"/>
        </w:rPr>
        <w:t xml:space="preserve"> </w:t>
      </w:r>
      <w:r>
        <w:rPr>
          <w:w w:val="105"/>
        </w:rPr>
        <w:t>affi</w:t>
      </w:r>
      <w:r w:rsidR="00521E15">
        <w:rPr>
          <w:w w:val="105"/>
        </w:rPr>
        <w:t>rmed</w:t>
      </w:r>
      <w:r>
        <w:rPr>
          <w:w w:val="105"/>
        </w:rPr>
        <w:t xml:space="preserve"> the</w:t>
      </w:r>
      <w:r>
        <w:rPr>
          <w:spacing w:val="40"/>
          <w:w w:val="105"/>
        </w:rPr>
        <w:t xml:space="preserve"> </w:t>
      </w:r>
      <w:r>
        <w:rPr>
          <w:w w:val="105"/>
        </w:rPr>
        <w:t>judgment.</w:t>
      </w:r>
      <w:r>
        <w:rPr>
          <w:spacing w:val="40"/>
          <w:w w:val="105"/>
        </w:rPr>
        <w:t xml:space="preserve"> </w:t>
      </w:r>
      <w:r>
        <w:rPr>
          <w:w w:val="105"/>
        </w:rPr>
        <w:t>The</w:t>
      </w:r>
      <w:r>
        <w:rPr>
          <w:spacing w:val="40"/>
          <w:w w:val="105"/>
        </w:rPr>
        <w:t xml:space="preserve"> </w:t>
      </w:r>
      <w:r>
        <w:rPr>
          <w:w w:val="105"/>
        </w:rPr>
        <w:t>plaintiff</w:t>
      </w:r>
      <w:r>
        <w:rPr>
          <w:spacing w:val="80"/>
          <w:w w:val="105"/>
        </w:rPr>
        <w:t xml:space="preserve"> </w:t>
      </w:r>
      <w:r>
        <w:rPr>
          <w:w w:val="105"/>
        </w:rPr>
        <w:t>had</w:t>
      </w:r>
      <w:r>
        <w:rPr>
          <w:spacing w:val="40"/>
          <w:w w:val="105"/>
        </w:rPr>
        <w:t xml:space="preserve"> </w:t>
      </w:r>
      <w:r>
        <w:rPr>
          <w:w w:val="105"/>
        </w:rPr>
        <w:t>contended</w:t>
      </w:r>
      <w:r>
        <w:rPr>
          <w:spacing w:val="80"/>
          <w:w w:val="105"/>
        </w:rPr>
        <w:t xml:space="preserve"> </w:t>
      </w:r>
      <w:r>
        <w:rPr>
          <w:w w:val="105"/>
        </w:rPr>
        <w:t>on</w:t>
      </w:r>
      <w:r>
        <w:rPr>
          <w:spacing w:val="40"/>
          <w:w w:val="105"/>
        </w:rPr>
        <w:t xml:space="preserve"> </w:t>
      </w:r>
      <w:r>
        <w:rPr>
          <w:w w:val="105"/>
        </w:rPr>
        <w:t>appeal</w:t>
      </w:r>
      <w:r>
        <w:rPr>
          <w:spacing w:val="74"/>
          <w:w w:val="105"/>
        </w:rPr>
        <w:t xml:space="preserve"> </w:t>
      </w:r>
      <w:r>
        <w:rPr>
          <w:w w:val="105"/>
        </w:rPr>
        <w:t>that</w:t>
      </w:r>
      <w:r>
        <w:rPr>
          <w:spacing w:val="40"/>
          <w:w w:val="105"/>
        </w:rPr>
        <w:t xml:space="preserve"> </w:t>
      </w:r>
      <w:r>
        <w:rPr>
          <w:w w:val="105"/>
        </w:rPr>
        <w:t>a</w:t>
      </w:r>
      <w:r>
        <w:rPr>
          <w:spacing w:val="40"/>
          <w:w w:val="105"/>
        </w:rPr>
        <w:t xml:space="preserve"> </w:t>
      </w:r>
      <w:r>
        <w:rPr>
          <w:w w:val="105"/>
        </w:rPr>
        <w:t>n</w:t>
      </w:r>
      <w:r w:rsidR="00521E15">
        <w:rPr>
          <w:w w:val="105"/>
        </w:rPr>
        <w:t xml:space="preserve">earby </w:t>
      </w:r>
      <w:r>
        <w:rPr>
          <w:w w:val="105"/>
        </w:rPr>
        <w:t>homeowner's</w:t>
      </w:r>
      <w:r>
        <w:rPr>
          <w:spacing w:val="80"/>
          <w:w w:val="105"/>
        </w:rPr>
        <w:t xml:space="preserve"> </w:t>
      </w:r>
      <w:r>
        <w:rPr>
          <w:w w:val="105"/>
        </w:rPr>
        <w:t>complaint</w:t>
      </w:r>
      <w:r>
        <w:rPr>
          <w:spacing w:val="80"/>
          <w:w w:val="105"/>
        </w:rPr>
        <w:t xml:space="preserve"> </w:t>
      </w:r>
      <w:r>
        <w:rPr>
          <w:w w:val="105"/>
        </w:rPr>
        <w:t>to</w:t>
      </w:r>
      <w:r>
        <w:rPr>
          <w:spacing w:val="79"/>
          <w:w w:val="105"/>
        </w:rPr>
        <w:t xml:space="preserve"> </w:t>
      </w:r>
      <w:r>
        <w:rPr>
          <w:w w:val="105"/>
        </w:rPr>
        <w:t>the</w:t>
      </w:r>
      <w:r>
        <w:rPr>
          <w:spacing w:val="80"/>
          <w:w w:val="105"/>
        </w:rPr>
        <w:t xml:space="preserve"> </w:t>
      </w:r>
      <w:r>
        <w:rPr>
          <w:w w:val="105"/>
        </w:rPr>
        <w:t>property</w:t>
      </w:r>
      <w:r>
        <w:rPr>
          <w:spacing w:val="80"/>
          <w:w w:val="105"/>
        </w:rPr>
        <w:t xml:space="preserve"> </w:t>
      </w:r>
      <w:r>
        <w:rPr>
          <w:w w:val="105"/>
        </w:rPr>
        <w:t>manager</w:t>
      </w:r>
      <w:r>
        <w:rPr>
          <w:spacing w:val="80"/>
          <w:w w:val="105"/>
        </w:rPr>
        <w:t xml:space="preserve"> </w:t>
      </w:r>
      <w:r>
        <w:rPr>
          <w:w w:val="105"/>
        </w:rPr>
        <w:t>a</w:t>
      </w:r>
      <w:r>
        <w:rPr>
          <w:spacing w:val="80"/>
          <w:w w:val="105"/>
        </w:rPr>
        <w:t xml:space="preserve"> </w:t>
      </w:r>
      <w:r>
        <w:rPr>
          <w:w w:val="105"/>
        </w:rPr>
        <w:t>month</w:t>
      </w:r>
      <w:r>
        <w:rPr>
          <w:spacing w:val="80"/>
          <w:w w:val="105"/>
        </w:rPr>
        <w:t xml:space="preserve"> </w:t>
      </w:r>
      <w:r>
        <w:rPr>
          <w:w w:val="105"/>
        </w:rPr>
        <w:t>b</w:t>
      </w:r>
      <w:r w:rsidR="00521E15">
        <w:rPr>
          <w:w w:val="105"/>
        </w:rPr>
        <w:t>efore</w:t>
      </w:r>
      <w:r>
        <w:rPr>
          <w:w w:val="105"/>
        </w:rPr>
        <w:t xml:space="preserve"> her</w:t>
      </w:r>
      <w:r>
        <w:rPr>
          <w:spacing w:val="40"/>
          <w:w w:val="105"/>
        </w:rPr>
        <w:t xml:space="preserve"> </w:t>
      </w:r>
      <w:r>
        <w:rPr>
          <w:w w:val="105"/>
        </w:rPr>
        <w:t>fall</w:t>
      </w:r>
      <w:r>
        <w:rPr>
          <w:spacing w:val="40"/>
          <w:w w:val="105"/>
        </w:rPr>
        <w:t xml:space="preserve"> </w:t>
      </w:r>
      <w:r>
        <w:rPr>
          <w:w w:val="105"/>
        </w:rPr>
        <w:t>on</w:t>
      </w:r>
      <w:r>
        <w:rPr>
          <w:spacing w:val="40"/>
          <w:w w:val="105"/>
        </w:rPr>
        <w:t xml:space="preserve"> </w:t>
      </w:r>
      <w:r>
        <w:rPr>
          <w:w w:val="105"/>
        </w:rPr>
        <w:t>the</w:t>
      </w:r>
      <w:r>
        <w:rPr>
          <w:spacing w:val="40"/>
          <w:w w:val="105"/>
        </w:rPr>
        <w:t xml:space="preserve"> </w:t>
      </w:r>
      <w:r>
        <w:rPr>
          <w:w w:val="105"/>
        </w:rPr>
        <w:t>community’s</w:t>
      </w:r>
      <w:r>
        <w:rPr>
          <w:spacing w:val="40"/>
          <w:w w:val="105"/>
        </w:rPr>
        <w:t xml:space="preserve"> </w:t>
      </w:r>
      <w:r>
        <w:rPr>
          <w:w w:val="105"/>
        </w:rPr>
        <w:t>hike</w:t>
      </w:r>
      <w:r>
        <w:rPr>
          <w:spacing w:val="40"/>
          <w:w w:val="105"/>
        </w:rPr>
        <w:t xml:space="preserve"> </w:t>
      </w:r>
      <w:r>
        <w:rPr>
          <w:w w:val="105"/>
        </w:rPr>
        <w:t>and</w:t>
      </w:r>
      <w:r>
        <w:rPr>
          <w:spacing w:val="40"/>
          <w:w w:val="105"/>
        </w:rPr>
        <w:t xml:space="preserve"> </w:t>
      </w:r>
      <w:r>
        <w:rPr>
          <w:w w:val="105"/>
        </w:rPr>
        <w:t>bike</w:t>
      </w:r>
      <w:r>
        <w:rPr>
          <w:spacing w:val="40"/>
          <w:w w:val="105"/>
        </w:rPr>
        <w:t xml:space="preserve"> </w:t>
      </w:r>
      <w:r>
        <w:rPr>
          <w:w w:val="105"/>
        </w:rPr>
        <w:t>trail</w:t>
      </w:r>
      <w:r>
        <w:rPr>
          <w:spacing w:val="40"/>
          <w:w w:val="105"/>
        </w:rPr>
        <w:t xml:space="preserve"> </w:t>
      </w:r>
      <w:r>
        <w:rPr>
          <w:w w:val="105"/>
        </w:rPr>
        <w:t>about</w:t>
      </w:r>
      <w:r>
        <w:rPr>
          <w:spacing w:val="40"/>
          <w:w w:val="105"/>
        </w:rPr>
        <w:t xml:space="preserve"> </w:t>
      </w:r>
      <w:r>
        <w:rPr>
          <w:w w:val="105"/>
        </w:rPr>
        <w:t>wet</w:t>
      </w:r>
      <w:r>
        <w:rPr>
          <w:spacing w:val="40"/>
          <w:w w:val="105"/>
        </w:rPr>
        <w:t xml:space="preserve"> </w:t>
      </w:r>
      <w:r>
        <w:rPr>
          <w:w w:val="105"/>
        </w:rPr>
        <w:t>cond</w:t>
      </w:r>
      <w:r w:rsidR="00521E15">
        <w:rPr>
          <w:w w:val="105"/>
        </w:rPr>
        <w:t>itions</w:t>
      </w:r>
      <w:r>
        <w:rPr>
          <w:w w:val="105"/>
        </w:rPr>
        <w:t xml:space="preserve"> together</w:t>
      </w:r>
      <w:r>
        <w:rPr>
          <w:spacing w:val="40"/>
          <w:w w:val="105"/>
        </w:rPr>
        <w:t xml:space="preserve">  </w:t>
      </w:r>
      <w:r>
        <w:rPr>
          <w:w w:val="105"/>
        </w:rPr>
        <w:t>in</w:t>
      </w:r>
      <w:r>
        <w:rPr>
          <w:spacing w:val="40"/>
          <w:w w:val="105"/>
        </w:rPr>
        <w:t xml:space="preserve">  </w:t>
      </w:r>
      <w:r>
        <w:rPr>
          <w:w w:val="105"/>
        </w:rPr>
        <w:t>that</w:t>
      </w:r>
      <w:r>
        <w:rPr>
          <w:spacing w:val="40"/>
          <w:w w:val="105"/>
        </w:rPr>
        <w:t xml:space="preserve">  </w:t>
      </w:r>
      <w:r>
        <w:rPr>
          <w:w w:val="105"/>
        </w:rPr>
        <w:t>area</w:t>
      </w:r>
      <w:r>
        <w:rPr>
          <w:spacing w:val="80"/>
          <w:w w:val="150"/>
        </w:rPr>
        <w:t xml:space="preserve"> </w:t>
      </w:r>
      <w:r>
        <w:rPr>
          <w:w w:val="105"/>
        </w:rPr>
        <w:t>along</w:t>
      </w:r>
      <w:r>
        <w:rPr>
          <w:spacing w:val="40"/>
          <w:w w:val="105"/>
        </w:rPr>
        <w:t xml:space="preserve">  </w:t>
      </w:r>
      <w:r>
        <w:rPr>
          <w:w w:val="105"/>
        </w:rPr>
        <w:t>wit</w:t>
      </w:r>
      <w:r w:rsidR="00521E15">
        <w:rPr>
          <w:w w:val="105"/>
        </w:rPr>
        <w:t>h</w:t>
      </w:r>
      <w:r>
        <w:rPr>
          <w:spacing w:val="80"/>
          <w:w w:val="150"/>
        </w:rPr>
        <w:t xml:space="preserve"> </w:t>
      </w:r>
      <w:r>
        <w:rPr>
          <w:w w:val="105"/>
        </w:rPr>
        <w:t>awareness</w:t>
      </w:r>
      <w:r>
        <w:rPr>
          <w:spacing w:val="80"/>
          <w:w w:val="150"/>
        </w:rPr>
        <w:t xml:space="preserve"> </w:t>
      </w:r>
      <w:r>
        <w:rPr>
          <w:w w:val="105"/>
        </w:rPr>
        <w:t>of</w:t>
      </w:r>
      <w:r>
        <w:rPr>
          <w:spacing w:val="80"/>
          <w:w w:val="150"/>
        </w:rPr>
        <w:t xml:space="preserve"> </w:t>
      </w:r>
      <w:r>
        <w:rPr>
          <w:w w:val="105"/>
        </w:rPr>
        <w:t>occasional conditions</w:t>
      </w:r>
      <w:r>
        <w:rPr>
          <w:spacing w:val="40"/>
          <w:w w:val="105"/>
        </w:rPr>
        <w:t xml:space="preserve"> </w:t>
      </w:r>
      <w:r>
        <w:rPr>
          <w:w w:val="105"/>
        </w:rPr>
        <w:t>elsewhere</w:t>
      </w:r>
      <w:r>
        <w:rPr>
          <w:spacing w:val="40"/>
          <w:w w:val="105"/>
        </w:rPr>
        <w:t xml:space="preserve"> </w:t>
      </w:r>
      <w:r>
        <w:rPr>
          <w:w w:val="105"/>
        </w:rPr>
        <w:t>along</w:t>
      </w:r>
      <w:r>
        <w:rPr>
          <w:spacing w:val="40"/>
          <w:w w:val="105"/>
        </w:rPr>
        <w:t xml:space="preserve"> </w:t>
      </w:r>
      <w:r>
        <w:rPr>
          <w:w w:val="105"/>
        </w:rPr>
        <w:t>the</w:t>
      </w:r>
      <w:r>
        <w:rPr>
          <w:spacing w:val="40"/>
          <w:w w:val="105"/>
        </w:rPr>
        <w:t xml:space="preserve"> </w:t>
      </w:r>
      <w:r>
        <w:rPr>
          <w:w w:val="105"/>
        </w:rPr>
        <w:t>trails</w:t>
      </w:r>
      <w:r>
        <w:rPr>
          <w:spacing w:val="39"/>
          <w:w w:val="105"/>
        </w:rPr>
        <w:t xml:space="preserve"> </w:t>
      </w:r>
      <w:r>
        <w:rPr>
          <w:w w:val="105"/>
        </w:rPr>
        <w:t>amounted</w:t>
      </w:r>
      <w:r>
        <w:rPr>
          <w:spacing w:val="40"/>
          <w:w w:val="105"/>
        </w:rPr>
        <w:t xml:space="preserve"> </w:t>
      </w:r>
      <w:r>
        <w:rPr>
          <w:w w:val="105"/>
        </w:rPr>
        <w:t>to</w:t>
      </w:r>
      <w:r>
        <w:rPr>
          <w:spacing w:val="36"/>
          <w:w w:val="105"/>
        </w:rPr>
        <w:t xml:space="preserve"> </w:t>
      </w:r>
      <w:r>
        <w:rPr>
          <w:w w:val="105"/>
        </w:rPr>
        <w:t>the</w:t>
      </w:r>
      <w:r>
        <w:rPr>
          <w:spacing w:val="40"/>
          <w:w w:val="105"/>
        </w:rPr>
        <w:t xml:space="preserve"> </w:t>
      </w:r>
      <w:r>
        <w:rPr>
          <w:w w:val="105"/>
        </w:rPr>
        <w:t>kind</w:t>
      </w:r>
      <w:r>
        <w:rPr>
          <w:spacing w:val="40"/>
          <w:w w:val="105"/>
        </w:rPr>
        <w:t xml:space="preserve"> </w:t>
      </w:r>
      <w:r>
        <w:rPr>
          <w:w w:val="105"/>
        </w:rPr>
        <w:t>of</w:t>
      </w:r>
      <w:r>
        <w:rPr>
          <w:spacing w:val="40"/>
          <w:w w:val="105"/>
        </w:rPr>
        <w:t xml:space="preserve"> </w:t>
      </w:r>
      <w:r w:rsidR="00521E15">
        <w:rPr>
          <w:spacing w:val="40"/>
          <w:w w:val="105"/>
        </w:rPr>
        <w:t>notice</w:t>
      </w:r>
      <w:r>
        <w:rPr>
          <w:color w:val="383838"/>
          <w:w w:val="105"/>
        </w:rPr>
        <w:t xml:space="preserve"> </w:t>
      </w:r>
      <w:r>
        <w:rPr>
          <w:w w:val="105"/>
        </w:rPr>
        <w:t>that</w:t>
      </w:r>
      <w:r>
        <w:rPr>
          <w:spacing w:val="40"/>
          <w:w w:val="105"/>
        </w:rPr>
        <w:t xml:space="preserve"> </w:t>
      </w:r>
      <w:r>
        <w:rPr>
          <w:w w:val="105"/>
        </w:rPr>
        <w:t>is</w:t>
      </w:r>
      <w:r>
        <w:rPr>
          <w:spacing w:val="40"/>
          <w:w w:val="105"/>
        </w:rPr>
        <w:t xml:space="preserve"> </w:t>
      </w:r>
      <w:r>
        <w:rPr>
          <w:w w:val="105"/>
        </w:rPr>
        <w:t>evidence</w:t>
      </w:r>
      <w:r>
        <w:rPr>
          <w:spacing w:val="40"/>
          <w:w w:val="105"/>
        </w:rPr>
        <w:t xml:space="preserve"> </w:t>
      </w:r>
      <w:r>
        <w:rPr>
          <w:w w:val="105"/>
        </w:rPr>
        <w:t>of</w:t>
      </w:r>
      <w:r>
        <w:rPr>
          <w:spacing w:val="40"/>
          <w:w w:val="105"/>
        </w:rPr>
        <w:t xml:space="preserve"> </w:t>
      </w:r>
      <w:r>
        <w:rPr>
          <w:w w:val="105"/>
        </w:rPr>
        <w:t>actual</w:t>
      </w:r>
      <w:r>
        <w:rPr>
          <w:spacing w:val="40"/>
          <w:w w:val="105"/>
        </w:rPr>
        <w:t xml:space="preserve"> </w:t>
      </w:r>
      <w:r>
        <w:rPr>
          <w:w w:val="105"/>
        </w:rPr>
        <w:t>knowledge.</w:t>
      </w:r>
      <w:r>
        <w:rPr>
          <w:spacing w:val="40"/>
          <w:w w:val="105"/>
        </w:rPr>
        <w:t xml:space="preserve"> </w:t>
      </w:r>
      <w:r>
        <w:rPr>
          <w:w w:val="105"/>
        </w:rPr>
        <w:t>The</w:t>
      </w:r>
      <w:r>
        <w:rPr>
          <w:spacing w:val="40"/>
          <w:w w:val="105"/>
        </w:rPr>
        <w:t xml:space="preserve"> </w:t>
      </w:r>
      <w:r>
        <w:rPr>
          <w:w w:val="105"/>
        </w:rPr>
        <w:t>Court</w:t>
      </w:r>
      <w:r>
        <w:rPr>
          <w:spacing w:val="40"/>
          <w:w w:val="105"/>
        </w:rPr>
        <w:t xml:space="preserve"> </w:t>
      </w:r>
      <w:r>
        <w:rPr>
          <w:w w:val="105"/>
        </w:rPr>
        <w:t>of</w:t>
      </w:r>
      <w:r>
        <w:rPr>
          <w:spacing w:val="40"/>
          <w:w w:val="105"/>
        </w:rPr>
        <w:t xml:space="preserve"> </w:t>
      </w:r>
      <w:r>
        <w:rPr>
          <w:w w:val="105"/>
        </w:rPr>
        <w:t>Appeals</w:t>
      </w:r>
      <w:r>
        <w:rPr>
          <w:spacing w:val="40"/>
          <w:w w:val="105"/>
        </w:rPr>
        <w:t xml:space="preserve"> </w:t>
      </w:r>
      <w:r>
        <w:rPr>
          <w:w w:val="105"/>
        </w:rPr>
        <w:t>pro</w:t>
      </w:r>
      <w:r w:rsidR="00521E15">
        <w:rPr>
          <w:w w:val="105"/>
        </w:rPr>
        <w:t>perly</w:t>
      </w:r>
      <w:r>
        <w:rPr>
          <w:w w:val="105"/>
        </w:rPr>
        <w:t xml:space="preserve"> </w:t>
      </w:r>
      <w:r>
        <w:rPr>
          <w:spacing w:val="-2"/>
          <w:w w:val="105"/>
        </w:rPr>
        <w:t>concluded</w:t>
      </w:r>
      <w:r>
        <w:tab/>
      </w:r>
      <w:r>
        <w:rPr>
          <w:spacing w:val="-4"/>
          <w:w w:val="105"/>
        </w:rPr>
        <w:t>that</w:t>
      </w:r>
      <w:r>
        <w:tab/>
      </w:r>
      <w:r>
        <w:rPr>
          <w:spacing w:val="-4"/>
          <w:w w:val="105"/>
        </w:rPr>
        <w:t>the</w:t>
      </w:r>
      <w:r>
        <w:tab/>
      </w:r>
      <w:r>
        <w:rPr>
          <w:spacing w:val="-2"/>
          <w:w w:val="105"/>
        </w:rPr>
        <w:t>complaint</w:t>
      </w:r>
      <w:r>
        <w:tab/>
      </w:r>
      <w:r>
        <w:rPr>
          <w:spacing w:val="-4"/>
          <w:w w:val="105"/>
        </w:rPr>
        <w:t>and</w:t>
      </w:r>
      <w:r>
        <w:tab/>
      </w:r>
      <w:r>
        <w:rPr>
          <w:spacing w:val="-2"/>
          <w:w w:val="105"/>
        </w:rPr>
        <w:t>awareness</w:t>
      </w:r>
      <w:r>
        <w:tab/>
      </w:r>
      <w:r>
        <w:rPr>
          <w:spacing w:val="-6"/>
          <w:w w:val="105"/>
        </w:rPr>
        <w:t>of</w:t>
      </w:r>
      <w:r>
        <w:tab/>
      </w:r>
      <w:r>
        <w:rPr>
          <w:spacing w:val="-2"/>
          <w:w w:val="105"/>
        </w:rPr>
        <w:t xml:space="preserve">other </w:t>
      </w:r>
      <w:r w:rsidR="00521E15">
        <w:rPr>
          <w:spacing w:val="-2"/>
          <w:w w:val="105"/>
        </w:rPr>
        <w:t xml:space="preserve">wet </w:t>
      </w:r>
      <w:r>
        <w:rPr>
          <w:w w:val="105"/>
        </w:rPr>
        <w:t>conditions</w:t>
      </w:r>
      <w:r>
        <w:rPr>
          <w:spacing w:val="80"/>
          <w:w w:val="150"/>
        </w:rPr>
        <w:t xml:space="preserve"> </w:t>
      </w:r>
      <w:r>
        <w:rPr>
          <w:w w:val="105"/>
        </w:rPr>
        <w:t>does</w:t>
      </w:r>
      <w:r>
        <w:rPr>
          <w:spacing w:val="80"/>
          <w:w w:val="150"/>
        </w:rPr>
        <w:t xml:space="preserve"> </w:t>
      </w:r>
      <w:r>
        <w:rPr>
          <w:w w:val="105"/>
        </w:rPr>
        <w:t>not</w:t>
      </w:r>
      <w:r>
        <w:rPr>
          <w:spacing w:val="80"/>
          <w:w w:val="150"/>
        </w:rPr>
        <w:t xml:space="preserve"> </w:t>
      </w:r>
      <w:r>
        <w:rPr>
          <w:w w:val="105"/>
        </w:rPr>
        <w:t>arise</w:t>
      </w:r>
      <w:r>
        <w:rPr>
          <w:spacing w:val="80"/>
          <w:w w:val="150"/>
        </w:rPr>
        <w:t xml:space="preserve"> </w:t>
      </w:r>
      <w:r>
        <w:rPr>
          <w:w w:val="105"/>
        </w:rPr>
        <w:t>to</w:t>
      </w:r>
      <w:r>
        <w:rPr>
          <w:spacing w:val="80"/>
          <w:w w:val="150"/>
        </w:rPr>
        <w:t xml:space="preserve"> </w:t>
      </w:r>
      <w:r>
        <w:rPr>
          <w:w w:val="105"/>
        </w:rPr>
        <w:t>actual</w:t>
      </w:r>
      <w:r>
        <w:rPr>
          <w:spacing w:val="40"/>
          <w:w w:val="105"/>
        </w:rPr>
        <w:t xml:space="preserve">  </w:t>
      </w:r>
      <w:r>
        <w:rPr>
          <w:w w:val="105"/>
        </w:rPr>
        <w:t>knowledge</w:t>
      </w:r>
      <w:r>
        <w:rPr>
          <w:spacing w:val="80"/>
          <w:w w:val="150"/>
        </w:rPr>
        <w:t xml:space="preserve"> </w:t>
      </w:r>
      <w:r>
        <w:rPr>
          <w:w w:val="105"/>
        </w:rPr>
        <w:t>of</w:t>
      </w:r>
      <w:r>
        <w:rPr>
          <w:spacing w:val="80"/>
          <w:w w:val="150"/>
        </w:rPr>
        <w:t xml:space="preserve"> </w:t>
      </w:r>
      <w:r>
        <w:rPr>
          <w:w w:val="105"/>
        </w:rPr>
        <w:t>a</w:t>
      </w:r>
      <w:r>
        <w:rPr>
          <w:spacing w:val="80"/>
          <w:w w:val="150"/>
        </w:rPr>
        <w:t xml:space="preserve"> </w:t>
      </w:r>
      <w:r>
        <w:rPr>
          <w:w w:val="105"/>
        </w:rPr>
        <w:t>dang</w:t>
      </w:r>
      <w:r w:rsidR="00521E15">
        <w:rPr>
          <w:w w:val="105"/>
        </w:rPr>
        <w:t>erous</w:t>
      </w:r>
      <w:r>
        <w:rPr>
          <w:spacing w:val="80"/>
          <w:w w:val="105"/>
        </w:rPr>
        <w:t xml:space="preserve"> </w:t>
      </w:r>
      <w:r>
        <w:rPr>
          <w:w w:val="105"/>
        </w:rPr>
        <w:t>condition.</w:t>
      </w:r>
      <w:r>
        <w:rPr>
          <w:spacing w:val="40"/>
          <w:w w:val="105"/>
        </w:rPr>
        <w:t xml:space="preserve"> </w:t>
      </w:r>
      <w:r w:rsidRPr="00206AE8">
        <w:rPr>
          <w:w w:val="105"/>
          <w:u w:val="single"/>
        </w:rPr>
        <w:t>Accordingly,</w:t>
      </w:r>
      <w:r w:rsidRPr="00206AE8">
        <w:rPr>
          <w:spacing w:val="40"/>
          <w:w w:val="105"/>
          <w:u w:val="single"/>
        </w:rPr>
        <w:t xml:space="preserve"> </w:t>
      </w:r>
      <w:r w:rsidRPr="00206AE8">
        <w:rPr>
          <w:w w:val="105"/>
          <w:u w:val="single"/>
        </w:rPr>
        <w:t>it</w:t>
      </w:r>
      <w:r w:rsidRPr="00206AE8">
        <w:rPr>
          <w:spacing w:val="40"/>
          <w:w w:val="105"/>
          <w:u w:val="single"/>
        </w:rPr>
        <w:t xml:space="preserve"> </w:t>
      </w:r>
      <w:r w:rsidRPr="00206AE8">
        <w:rPr>
          <w:w w:val="105"/>
          <w:u w:val="single"/>
        </w:rPr>
        <w:t>affirmed.</w:t>
      </w:r>
    </w:p>
    <w:p w14:paraId="0D45B6B2" w14:textId="77777777" w:rsidR="008930A7" w:rsidRDefault="008930A7">
      <w:pPr>
        <w:pStyle w:val="BodyText"/>
        <w:rPr>
          <w:sz w:val="26"/>
        </w:rPr>
      </w:pPr>
    </w:p>
    <w:p w14:paraId="467E79DE" w14:textId="77777777" w:rsidR="008930A7" w:rsidRDefault="008930A7">
      <w:pPr>
        <w:pStyle w:val="BodyText"/>
        <w:rPr>
          <w:sz w:val="25"/>
        </w:rPr>
      </w:pPr>
    </w:p>
    <w:p w14:paraId="7D16241E" w14:textId="24E915EA" w:rsidR="008930A7" w:rsidRDefault="007723B8">
      <w:pPr>
        <w:ind w:left="325"/>
        <w:rPr>
          <w:w w:val="115"/>
          <w:sz w:val="20"/>
        </w:rPr>
      </w:pPr>
      <w:r>
        <w:rPr>
          <w:noProof/>
        </w:rPr>
        <mc:AlternateContent>
          <mc:Choice Requires="wps">
            <w:drawing>
              <wp:anchor distT="0" distB="0" distL="114300" distR="114300" simplePos="0" relativeHeight="251659776" behindDoc="0" locked="0" layoutInCell="1" allowOverlap="1" wp14:anchorId="34D49FC2" wp14:editId="5EAF7ABD">
                <wp:simplePos x="0" y="0"/>
                <wp:positionH relativeFrom="page">
                  <wp:posOffset>457200</wp:posOffset>
                </wp:positionH>
                <wp:positionV relativeFrom="paragraph">
                  <wp:posOffset>-107950</wp:posOffset>
                </wp:positionV>
                <wp:extent cx="7077710" cy="0"/>
                <wp:effectExtent l="0" t="0" r="0" b="0"/>
                <wp:wrapNone/>
                <wp:docPr id="22804209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176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48EA"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8.5pt" to="593.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" strokeweight=".48894mm">
                <w10:wrap anchorx="page"/>
              </v:line>
            </w:pict>
          </mc:Fallback>
        </mc:AlternateContent>
      </w:r>
      <w:hyperlink r:id="rId12" w:history="1">
        <w:r w:rsidR="0081088C" w:rsidRPr="00B476B2">
          <w:rPr>
            <w:rStyle w:val="Hyperlink"/>
            <w:w w:val="115"/>
            <w:sz w:val="20"/>
          </w:rPr>
          <w:t>www.chambleeryan.com</w:t>
        </w:r>
      </w:hyperlink>
    </w:p>
    <w:p w14:paraId="48EED1A1" w14:textId="77777777" w:rsidR="0081088C" w:rsidRDefault="0081088C">
      <w:pPr>
        <w:ind w:left="325"/>
        <w:rPr>
          <w:w w:val="115"/>
          <w:sz w:val="20"/>
        </w:rPr>
      </w:pPr>
    </w:p>
    <w:p w14:paraId="4F391F04" w14:textId="77777777" w:rsidR="0081088C" w:rsidRDefault="0081088C">
      <w:pPr>
        <w:ind w:left="325"/>
        <w:rPr>
          <w:w w:val="115"/>
          <w:sz w:val="20"/>
        </w:rPr>
      </w:pPr>
    </w:p>
    <w:p w14:paraId="770A9CAB" w14:textId="77777777" w:rsidR="0081088C" w:rsidRDefault="0081088C">
      <w:pPr>
        <w:ind w:left="325"/>
        <w:rPr>
          <w:sz w:val="20"/>
        </w:rPr>
        <w:sectPr w:rsidR="0081088C">
          <w:type w:val="continuous"/>
          <w:pgSz w:w="11900" w:h="16840"/>
          <w:pgMar w:top="1040" w:right="0" w:bottom="280" w:left="620" w:header="720" w:footer="720" w:gutter="0"/>
          <w:cols w:num="2" w:space="720" w:equalWidth="0">
            <w:col w:w="4356" w:space="40"/>
            <w:col w:w="6884"/>
          </w:cols>
        </w:sectPr>
      </w:pPr>
    </w:p>
    <w:p w14:paraId="38FDD32B" w14:textId="77777777" w:rsidR="0081088C" w:rsidRPr="00011F0B" w:rsidRDefault="0081088C" w:rsidP="0081088C">
      <w:pPr>
        <w:jc w:val="both"/>
        <w:rPr>
          <w:sz w:val="32"/>
          <w:szCs w:val="32"/>
        </w:rPr>
      </w:pPr>
      <w:r w:rsidRPr="00011F0B">
        <w:rPr>
          <w:sz w:val="32"/>
          <w:szCs w:val="32"/>
        </w:rPr>
        <w:lastRenderedPageBreak/>
        <w:t>In other developments:</w:t>
      </w:r>
    </w:p>
    <w:p w14:paraId="7C9AEF3C" w14:textId="77777777" w:rsidR="0081088C" w:rsidRPr="00393230" w:rsidRDefault="0081088C" w:rsidP="0081088C">
      <w:pPr>
        <w:jc w:val="both"/>
        <w:rPr>
          <w:sz w:val="26"/>
          <w:szCs w:val="26"/>
        </w:rPr>
      </w:pPr>
    </w:p>
    <w:p w14:paraId="5ED8D019" w14:textId="77777777" w:rsidR="0081088C" w:rsidRDefault="0081088C" w:rsidP="0081088C">
      <w:pPr>
        <w:jc w:val="both"/>
        <w:rPr>
          <w:sz w:val="26"/>
          <w:szCs w:val="26"/>
        </w:rPr>
      </w:pPr>
      <w:r w:rsidRPr="00617CA2">
        <w:rPr>
          <w:b/>
          <w:bCs/>
          <w:sz w:val="26"/>
          <w:szCs w:val="26"/>
        </w:rPr>
        <w:t>Texas Supreme Court</w:t>
      </w:r>
      <w:r>
        <w:rPr>
          <w:sz w:val="26"/>
          <w:szCs w:val="26"/>
        </w:rPr>
        <w:t>:</w:t>
      </w:r>
    </w:p>
    <w:p w14:paraId="3EB4404D" w14:textId="77777777" w:rsidR="0081088C" w:rsidRPr="000838E9" w:rsidRDefault="0081088C" w:rsidP="0081088C">
      <w:pPr>
        <w:jc w:val="both"/>
        <w:rPr>
          <w:b/>
          <w:bCs/>
          <w:sz w:val="26"/>
          <w:szCs w:val="26"/>
        </w:rPr>
      </w:pPr>
      <w:r>
        <w:rPr>
          <w:b/>
          <w:bCs/>
          <w:sz w:val="26"/>
          <w:szCs w:val="26"/>
        </w:rPr>
        <w:t>June</w:t>
      </w:r>
      <w:r w:rsidRPr="000838E9">
        <w:rPr>
          <w:b/>
          <w:bCs/>
          <w:sz w:val="26"/>
          <w:szCs w:val="26"/>
        </w:rPr>
        <w:t xml:space="preserve"> Opinions:</w:t>
      </w:r>
    </w:p>
    <w:p w14:paraId="24138F0F" w14:textId="77777777" w:rsidR="0081088C" w:rsidRDefault="0081088C" w:rsidP="0081088C">
      <w:pPr>
        <w:jc w:val="both"/>
        <w:rPr>
          <w:sz w:val="26"/>
          <w:szCs w:val="26"/>
        </w:rPr>
      </w:pPr>
    </w:p>
    <w:p w14:paraId="1D63F80F" w14:textId="77777777" w:rsidR="0081088C" w:rsidRDefault="0081088C" w:rsidP="0081088C">
      <w:pPr>
        <w:jc w:val="both"/>
        <w:rPr>
          <w:b/>
          <w:bCs/>
          <w:sz w:val="26"/>
          <w:szCs w:val="26"/>
        </w:rPr>
      </w:pPr>
      <w:r>
        <w:rPr>
          <w:b/>
          <w:bCs/>
          <w:sz w:val="26"/>
          <w:szCs w:val="26"/>
        </w:rPr>
        <w:t>NEGLIGENCE</w:t>
      </w:r>
    </w:p>
    <w:p w14:paraId="1F30277A" w14:textId="77777777" w:rsidR="0081088C" w:rsidRDefault="0081088C" w:rsidP="0081088C">
      <w:pPr>
        <w:jc w:val="both"/>
        <w:rPr>
          <w:b/>
          <w:bCs/>
          <w:sz w:val="26"/>
          <w:szCs w:val="26"/>
        </w:rPr>
      </w:pPr>
    </w:p>
    <w:p w14:paraId="15672680" w14:textId="77777777" w:rsidR="0081088C" w:rsidRDefault="0081088C" w:rsidP="0081088C">
      <w:pPr>
        <w:jc w:val="both"/>
        <w:rPr>
          <w:sz w:val="26"/>
          <w:szCs w:val="26"/>
        </w:rPr>
      </w:pPr>
      <w:r w:rsidRPr="008953BB">
        <w:rPr>
          <w:i/>
          <w:iCs/>
          <w:sz w:val="26"/>
          <w:szCs w:val="26"/>
        </w:rPr>
        <w:t>Hous. Area Safety Council v. Mendez</w:t>
      </w:r>
      <w:r w:rsidRPr="008953BB">
        <w:rPr>
          <w:sz w:val="26"/>
          <w:szCs w:val="26"/>
        </w:rPr>
        <w:t>, ___ S.W.3d ___, 21-0496</w:t>
      </w:r>
      <w:r>
        <w:rPr>
          <w:sz w:val="26"/>
          <w:szCs w:val="26"/>
        </w:rPr>
        <w:t xml:space="preserve">, </w:t>
      </w:r>
      <w:r w:rsidRPr="008953BB">
        <w:rPr>
          <w:sz w:val="26"/>
          <w:szCs w:val="26"/>
        </w:rPr>
        <w:t>2023</w:t>
      </w:r>
      <w:r>
        <w:rPr>
          <w:sz w:val="26"/>
          <w:szCs w:val="26"/>
        </w:rPr>
        <w:t xml:space="preserve"> </w:t>
      </w:r>
      <w:r w:rsidRPr="008953BB">
        <w:rPr>
          <w:sz w:val="26"/>
          <w:szCs w:val="26"/>
        </w:rPr>
        <w:t>WL 4140238 (Tex. June 23,</w:t>
      </w:r>
      <w:r>
        <w:rPr>
          <w:sz w:val="26"/>
          <w:szCs w:val="26"/>
        </w:rPr>
        <w:t xml:space="preserve"> </w:t>
      </w:r>
      <w:r w:rsidRPr="008953BB">
        <w:rPr>
          <w:sz w:val="26"/>
          <w:szCs w:val="26"/>
        </w:rPr>
        <w:t>2023)</w:t>
      </w:r>
    </w:p>
    <w:p w14:paraId="313CB24D" w14:textId="77777777" w:rsidR="0081088C" w:rsidRPr="008953BB" w:rsidRDefault="0081088C" w:rsidP="0081088C">
      <w:pPr>
        <w:jc w:val="both"/>
        <w:rPr>
          <w:sz w:val="26"/>
          <w:szCs w:val="26"/>
        </w:rPr>
      </w:pPr>
    </w:p>
    <w:p w14:paraId="0090F77D" w14:textId="77777777" w:rsidR="0081088C" w:rsidRDefault="0081088C" w:rsidP="0081088C">
      <w:pPr>
        <w:jc w:val="both"/>
        <w:rPr>
          <w:sz w:val="26"/>
          <w:szCs w:val="26"/>
        </w:rPr>
      </w:pPr>
      <w:r w:rsidRPr="008953BB">
        <w:rPr>
          <w:sz w:val="26"/>
          <w:szCs w:val="26"/>
        </w:rPr>
        <w:t>The issue in this case is whether</w:t>
      </w:r>
      <w:r>
        <w:rPr>
          <w:sz w:val="26"/>
          <w:szCs w:val="26"/>
        </w:rPr>
        <w:t xml:space="preserve"> </w:t>
      </w:r>
      <w:r w:rsidRPr="008953BB">
        <w:rPr>
          <w:sz w:val="26"/>
          <w:szCs w:val="26"/>
        </w:rPr>
        <w:t>third-party companies that collect and</w:t>
      </w:r>
      <w:r>
        <w:rPr>
          <w:sz w:val="26"/>
          <w:szCs w:val="26"/>
        </w:rPr>
        <w:t xml:space="preserve"> </w:t>
      </w:r>
      <w:r w:rsidRPr="008953BB">
        <w:rPr>
          <w:sz w:val="26"/>
          <w:szCs w:val="26"/>
        </w:rPr>
        <w:t>test employment-related drug-testing</w:t>
      </w:r>
      <w:r>
        <w:rPr>
          <w:sz w:val="26"/>
          <w:szCs w:val="26"/>
        </w:rPr>
        <w:t xml:space="preserve"> </w:t>
      </w:r>
      <w:r w:rsidRPr="008953BB">
        <w:rPr>
          <w:sz w:val="26"/>
          <w:szCs w:val="26"/>
        </w:rPr>
        <w:t>samples owe a duty of care to the employees being tested.</w:t>
      </w:r>
      <w:r>
        <w:rPr>
          <w:sz w:val="26"/>
          <w:szCs w:val="26"/>
        </w:rPr>
        <w:t xml:space="preserve"> </w:t>
      </w:r>
      <w:r w:rsidRPr="008953BB">
        <w:rPr>
          <w:sz w:val="26"/>
          <w:szCs w:val="26"/>
        </w:rPr>
        <w:t>Mendez was required to submit</w:t>
      </w:r>
      <w:r>
        <w:rPr>
          <w:sz w:val="26"/>
          <w:szCs w:val="26"/>
        </w:rPr>
        <w:t xml:space="preserve"> </w:t>
      </w:r>
      <w:r w:rsidRPr="008953BB">
        <w:rPr>
          <w:sz w:val="26"/>
          <w:szCs w:val="26"/>
        </w:rPr>
        <w:t>to a random drug test as part of his employment. Houston Area Safety Council collected Mendez’s samples, and</w:t>
      </w:r>
      <w:r>
        <w:rPr>
          <w:sz w:val="26"/>
          <w:szCs w:val="26"/>
        </w:rPr>
        <w:t xml:space="preserve"> </w:t>
      </w:r>
      <w:r w:rsidRPr="008953BB">
        <w:rPr>
          <w:sz w:val="26"/>
          <w:szCs w:val="26"/>
        </w:rPr>
        <w:t>Psychemedics tested them. Mendez’s</w:t>
      </w:r>
      <w:r>
        <w:rPr>
          <w:sz w:val="26"/>
          <w:szCs w:val="26"/>
        </w:rPr>
        <w:t xml:space="preserve"> </w:t>
      </w:r>
      <w:r w:rsidRPr="008953BB">
        <w:rPr>
          <w:sz w:val="26"/>
          <w:szCs w:val="26"/>
        </w:rPr>
        <w:t>urine sample was negative, but his hair</w:t>
      </w:r>
      <w:r>
        <w:rPr>
          <w:sz w:val="26"/>
          <w:szCs w:val="26"/>
        </w:rPr>
        <w:t xml:space="preserve"> </w:t>
      </w:r>
      <w:r w:rsidRPr="008953BB">
        <w:rPr>
          <w:sz w:val="26"/>
          <w:szCs w:val="26"/>
        </w:rPr>
        <w:t>sample was positive for cocaine and cocaine metabolites. Although two subsequent hair tests came back negative,</w:t>
      </w:r>
      <w:r>
        <w:rPr>
          <w:sz w:val="26"/>
          <w:szCs w:val="26"/>
        </w:rPr>
        <w:t xml:space="preserve"> </w:t>
      </w:r>
      <w:r w:rsidRPr="008953BB">
        <w:rPr>
          <w:sz w:val="26"/>
          <w:szCs w:val="26"/>
        </w:rPr>
        <w:t>Mendez’s employer refused to assign</w:t>
      </w:r>
      <w:r>
        <w:rPr>
          <w:sz w:val="26"/>
          <w:szCs w:val="26"/>
        </w:rPr>
        <w:t xml:space="preserve"> </w:t>
      </w:r>
      <w:r w:rsidRPr="008953BB">
        <w:rPr>
          <w:sz w:val="26"/>
          <w:szCs w:val="26"/>
        </w:rPr>
        <w:t>him to any jobsites.</w:t>
      </w:r>
      <w:r>
        <w:rPr>
          <w:sz w:val="26"/>
          <w:szCs w:val="26"/>
        </w:rPr>
        <w:t xml:space="preserve"> </w:t>
      </w:r>
      <w:r w:rsidRPr="008953BB">
        <w:rPr>
          <w:sz w:val="26"/>
          <w:szCs w:val="26"/>
        </w:rPr>
        <w:t>Mendez sued the Safety Council</w:t>
      </w:r>
      <w:r>
        <w:rPr>
          <w:sz w:val="26"/>
          <w:szCs w:val="26"/>
        </w:rPr>
        <w:t xml:space="preserve"> </w:t>
      </w:r>
      <w:r w:rsidRPr="008953BB">
        <w:rPr>
          <w:sz w:val="26"/>
          <w:szCs w:val="26"/>
        </w:rPr>
        <w:t>and Psychemedics, alleging the companies negligently administered and analyzed the first hair sample, resulting in</w:t>
      </w:r>
      <w:r>
        <w:rPr>
          <w:sz w:val="26"/>
          <w:szCs w:val="26"/>
        </w:rPr>
        <w:t xml:space="preserve"> </w:t>
      </w:r>
      <w:r w:rsidRPr="008953BB">
        <w:rPr>
          <w:sz w:val="26"/>
          <w:szCs w:val="26"/>
        </w:rPr>
        <w:t>a false positive that cost him his job.</w:t>
      </w:r>
      <w:r>
        <w:rPr>
          <w:sz w:val="26"/>
          <w:szCs w:val="26"/>
        </w:rPr>
        <w:t xml:space="preserve"> </w:t>
      </w:r>
      <w:r w:rsidRPr="008953BB">
        <w:rPr>
          <w:sz w:val="26"/>
          <w:szCs w:val="26"/>
        </w:rPr>
        <w:t xml:space="preserve">Both companies filed motions for summary judgment. The </w:t>
      </w:r>
      <w:r w:rsidRPr="008953BB">
        <w:rPr>
          <w:i/>
          <w:iCs/>
          <w:sz w:val="26"/>
          <w:szCs w:val="26"/>
        </w:rPr>
        <w:t>trial court concluded that the companies did not owe Mendez a duty of care</w:t>
      </w:r>
      <w:r w:rsidRPr="008953BB">
        <w:rPr>
          <w:sz w:val="26"/>
          <w:szCs w:val="26"/>
        </w:rPr>
        <w:t xml:space="preserve"> and granted</w:t>
      </w:r>
      <w:r>
        <w:rPr>
          <w:sz w:val="26"/>
          <w:szCs w:val="26"/>
        </w:rPr>
        <w:t xml:space="preserve"> </w:t>
      </w:r>
      <w:r w:rsidRPr="008953BB">
        <w:rPr>
          <w:sz w:val="26"/>
          <w:szCs w:val="26"/>
        </w:rPr>
        <w:t>summary judgment for the companies.</w:t>
      </w:r>
      <w:r>
        <w:rPr>
          <w:sz w:val="26"/>
          <w:szCs w:val="26"/>
        </w:rPr>
        <w:t xml:space="preserve"> </w:t>
      </w:r>
      <w:r w:rsidRPr="008953BB">
        <w:rPr>
          <w:sz w:val="26"/>
          <w:szCs w:val="26"/>
        </w:rPr>
        <w:t>The court of appeals reversed.</w:t>
      </w:r>
    </w:p>
    <w:p w14:paraId="54731CC6" w14:textId="77777777" w:rsidR="0081088C" w:rsidRPr="008953BB" w:rsidRDefault="0081088C" w:rsidP="0081088C">
      <w:pPr>
        <w:jc w:val="both"/>
        <w:rPr>
          <w:sz w:val="26"/>
          <w:szCs w:val="26"/>
        </w:rPr>
      </w:pPr>
    </w:p>
    <w:p w14:paraId="5F23B1C5" w14:textId="77777777" w:rsidR="0081088C" w:rsidRDefault="0081088C" w:rsidP="0081088C">
      <w:pPr>
        <w:jc w:val="both"/>
        <w:rPr>
          <w:sz w:val="26"/>
          <w:szCs w:val="26"/>
        </w:rPr>
      </w:pPr>
      <w:r w:rsidRPr="008953BB">
        <w:rPr>
          <w:sz w:val="26"/>
          <w:szCs w:val="26"/>
        </w:rPr>
        <w:t>The Supreme Court reversed</w:t>
      </w:r>
      <w:r>
        <w:rPr>
          <w:sz w:val="26"/>
          <w:szCs w:val="26"/>
        </w:rPr>
        <w:t xml:space="preserve"> the Court of Appeals </w:t>
      </w:r>
      <w:r w:rsidRPr="008953BB">
        <w:rPr>
          <w:sz w:val="26"/>
          <w:szCs w:val="26"/>
        </w:rPr>
        <w:t>and rendered judgment for the companies. Chief Justice Hecht delivered the</w:t>
      </w:r>
      <w:r>
        <w:rPr>
          <w:sz w:val="26"/>
          <w:szCs w:val="26"/>
        </w:rPr>
        <w:t xml:space="preserve"> </w:t>
      </w:r>
      <w:r w:rsidRPr="008953BB">
        <w:rPr>
          <w:sz w:val="26"/>
          <w:szCs w:val="26"/>
        </w:rPr>
        <w:t>opinion of the Court, which held that</w:t>
      </w:r>
      <w:r>
        <w:rPr>
          <w:sz w:val="26"/>
          <w:szCs w:val="26"/>
        </w:rPr>
        <w:t xml:space="preserve"> </w:t>
      </w:r>
      <w:r w:rsidRPr="008953BB">
        <w:rPr>
          <w:sz w:val="26"/>
          <w:szCs w:val="26"/>
        </w:rPr>
        <w:t>third-party companies hired by an employer do not owe the employees they</w:t>
      </w:r>
      <w:r>
        <w:rPr>
          <w:sz w:val="26"/>
          <w:szCs w:val="26"/>
        </w:rPr>
        <w:t xml:space="preserve"> </w:t>
      </w:r>
      <w:r w:rsidRPr="008953BB">
        <w:rPr>
          <w:sz w:val="26"/>
          <w:szCs w:val="26"/>
        </w:rPr>
        <w:t>test a common-law duty of care. The</w:t>
      </w:r>
      <w:r>
        <w:rPr>
          <w:sz w:val="26"/>
          <w:szCs w:val="26"/>
        </w:rPr>
        <w:t xml:space="preserve"> </w:t>
      </w:r>
      <w:r w:rsidRPr="008953BB">
        <w:rPr>
          <w:sz w:val="26"/>
          <w:szCs w:val="26"/>
        </w:rPr>
        <w:t>Court concluded that the risk–utility</w:t>
      </w:r>
      <w:r>
        <w:rPr>
          <w:sz w:val="26"/>
          <w:szCs w:val="26"/>
        </w:rPr>
        <w:t xml:space="preserve"> </w:t>
      </w:r>
      <w:r w:rsidRPr="008953BB">
        <w:rPr>
          <w:sz w:val="26"/>
          <w:szCs w:val="26"/>
        </w:rPr>
        <w:t xml:space="preserve">factors set out in </w:t>
      </w:r>
      <w:r w:rsidRPr="008953BB">
        <w:rPr>
          <w:i/>
          <w:iCs/>
          <w:sz w:val="26"/>
          <w:szCs w:val="26"/>
        </w:rPr>
        <w:t>Greater Houston Transportation Co. v. Phillips</w:t>
      </w:r>
      <w:r w:rsidRPr="008953BB">
        <w:rPr>
          <w:sz w:val="26"/>
          <w:szCs w:val="26"/>
        </w:rPr>
        <w:t xml:space="preserve"> weigh</w:t>
      </w:r>
      <w:r>
        <w:rPr>
          <w:sz w:val="26"/>
          <w:szCs w:val="26"/>
        </w:rPr>
        <w:t xml:space="preserve"> </w:t>
      </w:r>
      <w:r w:rsidRPr="008953BB">
        <w:rPr>
          <w:sz w:val="26"/>
          <w:szCs w:val="26"/>
        </w:rPr>
        <w:t>against imposing such a duty and that</w:t>
      </w:r>
      <w:r>
        <w:rPr>
          <w:sz w:val="26"/>
          <w:szCs w:val="26"/>
        </w:rPr>
        <w:t xml:space="preserve"> </w:t>
      </w:r>
      <w:r w:rsidRPr="008953BB">
        <w:rPr>
          <w:sz w:val="26"/>
          <w:szCs w:val="26"/>
        </w:rPr>
        <w:t>declining to recognize a duty is consistent with existing tort law.</w:t>
      </w:r>
      <w:r>
        <w:rPr>
          <w:sz w:val="26"/>
          <w:szCs w:val="26"/>
        </w:rPr>
        <w:t xml:space="preserve"> </w:t>
      </w:r>
      <w:r w:rsidRPr="008953BB">
        <w:rPr>
          <w:sz w:val="26"/>
          <w:szCs w:val="26"/>
        </w:rPr>
        <w:t>Justice Young filed a concurring</w:t>
      </w:r>
      <w:r>
        <w:rPr>
          <w:sz w:val="26"/>
          <w:szCs w:val="26"/>
        </w:rPr>
        <w:t xml:space="preserve"> </w:t>
      </w:r>
      <w:r w:rsidRPr="008953BB">
        <w:rPr>
          <w:sz w:val="26"/>
          <w:szCs w:val="26"/>
        </w:rPr>
        <w:t>opinion joined by one other justice.</w:t>
      </w:r>
      <w:r>
        <w:rPr>
          <w:sz w:val="26"/>
          <w:szCs w:val="26"/>
        </w:rPr>
        <w:t xml:space="preserve"> </w:t>
      </w:r>
      <w:r w:rsidRPr="008953BB">
        <w:rPr>
          <w:sz w:val="26"/>
          <w:szCs w:val="26"/>
        </w:rPr>
        <w:t>They agreed with the majority but</w:t>
      </w:r>
      <w:r>
        <w:rPr>
          <w:sz w:val="26"/>
          <w:szCs w:val="26"/>
        </w:rPr>
        <w:t xml:space="preserve"> </w:t>
      </w:r>
      <w:r w:rsidRPr="008953BB">
        <w:rPr>
          <w:sz w:val="26"/>
          <w:szCs w:val="26"/>
        </w:rPr>
        <w:t>wrote separately to emphasize that the</w:t>
      </w:r>
      <w:r>
        <w:rPr>
          <w:sz w:val="26"/>
          <w:szCs w:val="26"/>
        </w:rPr>
        <w:t xml:space="preserve"> </w:t>
      </w:r>
      <w:r w:rsidRPr="008953BB">
        <w:rPr>
          <w:sz w:val="26"/>
          <w:szCs w:val="26"/>
        </w:rPr>
        <w:t>result could be reached without reliance on the risk–utility factors.</w:t>
      </w:r>
      <w:r>
        <w:rPr>
          <w:sz w:val="26"/>
          <w:szCs w:val="26"/>
        </w:rPr>
        <w:t xml:space="preserve"> </w:t>
      </w:r>
    </w:p>
    <w:p w14:paraId="7767AFB3" w14:textId="77777777" w:rsidR="0081088C" w:rsidRDefault="0081088C" w:rsidP="0081088C">
      <w:pPr>
        <w:jc w:val="both"/>
        <w:rPr>
          <w:sz w:val="26"/>
          <w:szCs w:val="26"/>
        </w:rPr>
      </w:pPr>
      <w:r w:rsidRPr="008953BB">
        <w:rPr>
          <w:sz w:val="26"/>
          <w:szCs w:val="26"/>
        </w:rPr>
        <w:t>Justice Boyd filed a dissenting</w:t>
      </w:r>
      <w:r>
        <w:rPr>
          <w:sz w:val="26"/>
          <w:szCs w:val="26"/>
        </w:rPr>
        <w:t xml:space="preserve"> </w:t>
      </w:r>
      <w:r w:rsidRPr="008953BB">
        <w:rPr>
          <w:sz w:val="26"/>
          <w:szCs w:val="26"/>
        </w:rPr>
        <w:t>opinion joined by two other justices.</w:t>
      </w:r>
      <w:r>
        <w:rPr>
          <w:sz w:val="26"/>
          <w:szCs w:val="26"/>
        </w:rPr>
        <w:t xml:space="preserve"> </w:t>
      </w:r>
      <w:r w:rsidRPr="008953BB">
        <w:rPr>
          <w:sz w:val="26"/>
          <w:szCs w:val="26"/>
        </w:rPr>
        <w:t>They would have held that the risk–utility factors weigh in favor of imposing a duty on the third-party companies.</w:t>
      </w:r>
      <w:r>
        <w:rPr>
          <w:sz w:val="26"/>
          <w:szCs w:val="26"/>
        </w:rPr>
        <w:t xml:space="preserve"> </w:t>
      </w:r>
    </w:p>
    <w:p w14:paraId="5FCC5DC3" w14:textId="77777777" w:rsidR="0081088C" w:rsidRDefault="0081088C" w:rsidP="0081088C">
      <w:pPr>
        <w:jc w:val="both"/>
        <w:rPr>
          <w:sz w:val="26"/>
          <w:szCs w:val="26"/>
        </w:rPr>
      </w:pPr>
    </w:p>
    <w:p w14:paraId="3E35E5DF" w14:textId="77777777" w:rsidR="0081088C" w:rsidRDefault="0081088C" w:rsidP="0081088C">
      <w:pPr>
        <w:jc w:val="both"/>
        <w:rPr>
          <w:sz w:val="26"/>
          <w:szCs w:val="26"/>
        </w:rPr>
      </w:pPr>
      <w:r w:rsidRPr="00551639">
        <w:rPr>
          <w:i/>
          <w:iCs/>
          <w:sz w:val="26"/>
          <w:szCs w:val="26"/>
        </w:rPr>
        <w:t>Schindler Elevator Corp. v. Ceasar</w:t>
      </w:r>
      <w:r w:rsidRPr="008953BB">
        <w:rPr>
          <w:sz w:val="26"/>
          <w:szCs w:val="26"/>
        </w:rPr>
        <w:t>, ___ S.W.3d ___, 22-0030</w:t>
      </w:r>
      <w:r>
        <w:rPr>
          <w:sz w:val="26"/>
          <w:szCs w:val="26"/>
        </w:rPr>
        <w:t xml:space="preserve">, </w:t>
      </w:r>
      <w:r w:rsidRPr="008953BB">
        <w:rPr>
          <w:sz w:val="26"/>
          <w:szCs w:val="26"/>
        </w:rPr>
        <w:t>2023</w:t>
      </w:r>
      <w:r>
        <w:rPr>
          <w:sz w:val="26"/>
          <w:szCs w:val="26"/>
        </w:rPr>
        <w:t xml:space="preserve"> </w:t>
      </w:r>
      <w:r w:rsidRPr="008953BB">
        <w:rPr>
          <w:sz w:val="26"/>
          <w:szCs w:val="26"/>
        </w:rPr>
        <w:t>WL 4036171 (Tex. June 16,</w:t>
      </w:r>
      <w:r>
        <w:rPr>
          <w:sz w:val="26"/>
          <w:szCs w:val="26"/>
        </w:rPr>
        <w:t xml:space="preserve"> </w:t>
      </w:r>
      <w:r w:rsidRPr="008953BB">
        <w:rPr>
          <w:sz w:val="26"/>
          <w:szCs w:val="26"/>
        </w:rPr>
        <w:t xml:space="preserve">2023) </w:t>
      </w:r>
    </w:p>
    <w:p w14:paraId="34C0624C" w14:textId="77777777" w:rsidR="0081088C" w:rsidRPr="008953BB" w:rsidRDefault="0081088C" w:rsidP="0081088C">
      <w:pPr>
        <w:jc w:val="both"/>
        <w:rPr>
          <w:sz w:val="26"/>
          <w:szCs w:val="26"/>
        </w:rPr>
      </w:pPr>
    </w:p>
    <w:p w14:paraId="5387BF9F" w14:textId="77777777" w:rsidR="0081088C" w:rsidRDefault="0081088C" w:rsidP="0081088C">
      <w:pPr>
        <w:jc w:val="both"/>
        <w:rPr>
          <w:sz w:val="26"/>
          <w:szCs w:val="26"/>
        </w:rPr>
      </w:pPr>
      <w:r w:rsidRPr="008953BB">
        <w:rPr>
          <w:sz w:val="26"/>
          <w:szCs w:val="26"/>
        </w:rPr>
        <w:t xml:space="preserve">The case </w:t>
      </w:r>
      <w:r>
        <w:rPr>
          <w:sz w:val="26"/>
          <w:szCs w:val="26"/>
        </w:rPr>
        <w:t xml:space="preserve">concerns </w:t>
      </w:r>
      <w:r w:rsidRPr="008953BB">
        <w:rPr>
          <w:sz w:val="26"/>
          <w:szCs w:val="26"/>
        </w:rPr>
        <w:t>whether the trial court abused its discretion by including in the jury charge</w:t>
      </w:r>
      <w:r>
        <w:rPr>
          <w:sz w:val="26"/>
          <w:szCs w:val="26"/>
        </w:rPr>
        <w:t xml:space="preserve"> </w:t>
      </w:r>
      <w:r w:rsidRPr="008953BB">
        <w:rPr>
          <w:sz w:val="26"/>
          <w:szCs w:val="26"/>
        </w:rPr>
        <w:t xml:space="preserve">an instruction on </w:t>
      </w:r>
      <w:r w:rsidRPr="003B51ED">
        <w:rPr>
          <w:i/>
          <w:iCs/>
          <w:sz w:val="26"/>
          <w:szCs w:val="26"/>
        </w:rPr>
        <w:t>res ipsa loquitur</w:t>
      </w:r>
      <w:r w:rsidRPr="008953BB">
        <w:rPr>
          <w:sz w:val="26"/>
          <w:szCs w:val="26"/>
        </w:rPr>
        <w:t>.</w:t>
      </w:r>
    </w:p>
    <w:p w14:paraId="19CF1194" w14:textId="77777777" w:rsidR="0081088C" w:rsidRPr="008953BB" w:rsidRDefault="0081088C" w:rsidP="0081088C">
      <w:pPr>
        <w:jc w:val="both"/>
        <w:rPr>
          <w:sz w:val="26"/>
          <w:szCs w:val="26"/>
        </w:rPr>
      </w:pPr>
    </w:p>
    <w:p w14:paraId="37E213F0" w14:textId="77777777" w:rsidR="0081088C" w:rsidRDefault="0081088C" w:rsidP="0081088C">
      <w:pPr>
        <w:jc w:val="both"/>
        <w:rPr>
          <w:sz w:val="26"/>
          <w:szCs w:val="26"/>
        </w:rPr>
      </w:pPr>
      <w:r w:rsidRPr="008953BB">
        <w:rPr>
          <w:sz w:val="26"/>
          <w:szCs w:val="26"/>
        </w:rPr>
        <w:lastRenderedPageBreak/>
        <w:t>Darren Ceasar alleges he was injured in a hotel elevator that ascended</w:t>
      </w:r>
      <w:r>
        <w:rPr>
          <w:sz w:val="26"/>
          <w:szCs w:val="26"/>
        </w:rPr>
        <w:t xml:space="preserve"> </w:t>
      </w:r>
      <w:r w:rsidRPr="008953BB">
        <w:rPr>
          <w:sz w:val="26"/>
          <w:szCs w:val="26"/>
        </w:rPr>
        <w:t>rapidly and then came to an abrupt</w:t>
      </w:r>
      <w:r>
        <w:rPr>
          <w:sz w:val="26"/>
          <w:szCs w:val="26"/>
        </w:rPr>
        <w:t xml:space="preserve"> </w:t>
      </w:r>
      <w:r w:rsidRPr="008953BB">
        <w:rPr>
          <w:sz w:val="26"/>
          <w:szCs w:val="26"/>
        </w:rPr>
        <w:t>stop at the wrong floor. He sued the hotel’s elevator-maintenance company,</w:t>
      </w:r>
      <w:r>
        <w:rPr>
          <w:sz w:val="26"/>
          <w:szCs w:val="26"/>
        </w:rPr>
        <w:t xml:space="preserve"> </w:t>
      </w:r>
      <w:r w:rsidRPr="008953BB">
        <w:rPr>
          <w:sz w:val="26"/>
          <w:szCs w:val="26"/>
        </w:rPr>
        <w:t>Schindler, for personal injuries and</w:t>
      </w:r>
      <w:r>
        <w:rPr>
          <w:sz w:val="26"/>
          <w:szCs w:val="26"/>
        </w:rPr>
        <w:t xml:space="preserve"> </w:t>
      </w:r>
      <w:r w:rsidRPr="008953BB">
        <w:rPr>
          <w:sz w:val="26"/>
          <w:szCs w:val="26"/>
        </w:rPr>
        <w:t>presented two theories of negligence to</w:t>
      </w:r>
      <w:r>
        <w:rPr>
          <w:sz w:val="26"/>
          <w:szCs w:val="26"/>
        </w:rPr>
        <w:t xml:space="preserve"> </w:t>
      </w:r>
      <w:r w:rsidRPr="008953BB">
        <w:rPr>
          <w:sz w:val="26"/>
          <w:szCs w:val="26"/>
        </w:rPr>
        <w:t>the jury: (1) res ipsa loquitur and (2)</w:t>
      </w:r>
      <w:r>
        <w:rPr>
          <w:sz w:val="26"/>
          <w:szCs w:val="26"/>
        </w:rPr>
        <w:t xml:space="preserve"> </w:t>
      </w:r>
      <w:r w:rsidRPr="008953BB">
        <w:rPr>
          <w:sz w:val="26"/>
          <w:szCs w:val="26"/>
        </w:rPr>
        <w:t>the theory that Schindler negligently</w:t>
      </w:r>
      <w:r>
        <w:rPr>
          <w:sz w:val="26"/>
          <w:szCs w:val="26"/>
        </w:rPr>
        <w:t xml:space="preserve"> </w:t>
      </w:r>
      <w:r w:rsidRPr="008953BB">
        <w:rPr>
          <w:sz w:val="26"/>
          <w:szCs w:val="26"/>
        </w:rPr>
        <w:t>maintained the elevator’s SDI board,</w:t>
      </w:r>
      <w:r>
        <w:rPr>
          <w:sz w:val="26"/>
          <w:szCs w:val="26"/>
        </w:rPr>
        <w:t xml:space="preserve"> </w:t>
      </w:r>
      <w:r w:rsidRPr="008953BB">
        <w:rPr>
          <w:sz w:val="26"/>
          <w:szCs w:val="26"/>
        </w:rPr>
        <w:t>which controls the elevator’s position</w:t>
      </w:r>
      <w:r>
        <w:rPr>
          <w:sz w:val="26"/>
          <w:szCs w:val="26"/>
        </w:rPr>
        <w:t xml:space="preserve"> </w:t>
      </w:r>
      <w:r w:rsidRPr="008953BB">
        <w:rPr>
          <w:sz w:val="26"/>
          <w:szCs w:val="26"/>
        </w:rPr>
        <w:t>and velocity. The trial court submitted</w:t>
      </w:r>
      <w:r>
        <w:rPr>
          <w:sz w:val="26"/>
          <w:szCs w:val="26"/>
        </w:rPr>
        <w:t xml:space="preserve"> </w:t>
      </w:r>
      <w:r w:rsidRPr="008953BB">
        <w:rPr>
          <w:sz w:val="26"/>
          <w:szCs w:val="26"/>
        </w:rPr>
        <w:t>a jury instruction on res ipsa over</w:t>
      </w:r>
      <w:r>
        <w:rPr>
          <w:sz w:val="26"/>
          <w:szCs w:val="26"/>
        </w:rPr>
        <w:t xml:space="preserve"> </w:t>
      </w:r>
      <w:r w:rsidRPr="008953BB">
        <w:rPr>
          <w:sz w:val="26"/>
          <w:szCs w:val="26"/>
        </w:rPr>
        <w:t>Schindler’s objection. The jury found</w:t>
      </w:r>
      <w:r>
        <w:rPr>
          <w:sz w:val="26"/>
          <w:szCs w:val="26"/>
        </w:rPr>
        <w:t xml:space="preserve"> </w:t>
      </w:r>
      <w:r w:rsidRPr="008953BB">
        <w:rPr>
          <w:sz w:val="26"/>
          <w:szCs w:val="26"/>
        </w:rPr>
        <w:t>for Ceasar, and the court of appeals affirmed.</w:t>
      </w:r>
      <w:r>
        <w:rPr>
          <w:sz w:val="26"/>
          <w:szCs w:val="26"/>
        </w:rPr>
        <w:t xml:space="preserve"> </w:t>
      </w:r>
    </w:p>
    <w:p w14:paraId="7723A85D" w14:textId="77777777" w:rsidR="0081088C" w:rsidRDefault="0081088C" w:rsidP="0081088C">
      <w:pPr>
        <w:jc w:val="both"/>
        <w:rPr>
          <w:sz w:val="26"/>
          <w:szCs w:val="26"/>
        </w:rPr>
      </w:pPr>
    </w:p>
    <w:p w14:paraId="2DFEF13F" w14:textId="77777777" w:rsidR="0081088C" w:rsidRDefault="0081088C" w:rsidP="0081088C">
      <w:pPr>
        <w:jc w:val="both"/>
        <w:rPr>
          <w:sz w:val="26"/>
          <w:szCs w:val="26"/>
        </w:rPr>
      </w:pPr>
      <w:r w:rsidRPr="008953BB">
        <w:rPr>
          <w:sz w:val="26"/>
          <w:szCs w:val="26"/>
        </w:rPr>
        <w:t>The Supreme Court reversed</w:t>
      </w:r>
      <w:r>
        <w:rPr>
          <w:sz w:val="26"/>
          <w:szCs w:val="26"/>
        </w:rPr>
        <w:t xml:space="preserve"> </w:t>
      </w:r>
      <w:r w:rsidRPr="008953BB">
        <w:rPr>
          <w:sz w:val="26"/>
          <w:szCs w:val="26"/>
        </w:rPr>
        <w:t>and remanded for a new trial. The first</w:t>
      </w:r>
      <w:r>
        <w:rPr>
          <w:sz w:val="26"/>
          <w:szCs w:val="26"/>
        </w:rPr>
        <w:t xml:space="preserve"> </w:t>
      </w:r>
      <w:r w:rsidRPr="008953BB">
        <w:rPr>
          <w:sz w:val="26"/>
          <w:szCs w:val="26"/>
        </w:rPr>
        <w:t>evidentiary requirement for a res ipsa</w:t>
      </w:r>
      <w:r>
        <w:rPr>
          <w:sz w:val="26"/>
          <w:szCs w:val="26"/>
        </w:rPr>
        <w:t xml:space="preserve"> </w:t>
      </w:r>
      <w:r w:rsidRPr="008953BB">
        <w:rPr>
          <w:sz w:val="26"/>
          <w:szCs w:val="26"/>
        </w:rPr>
        <w:t>instruction is that the character of the</w:t>
      </w:r>
      <w:r>
        <w:rPr>
          <w:sz w:val="26"/>
          <w:szCs w:val="26"/>
        </w:rPr>
        <w:t xml:space="preserve"> </w:t>
      </w:r>
      <w:r w:rsidRPr="008953BB">
        <w:rPr>
          <w:sz w:val="26"/>
          <w:szCs w:val="26"/>
        </w:rPr>
        <w:t>accident is such that it would not ordinarily occur in the absence of negligence. The Court held that Ceasar presented no evidence to support this requirement because the testimony of</w:t>
      </w:r>
      <w:r>
        <w:rPr>
          <w:sz w:val="26"/>
          <w:szCs w:val="26"/>
        </w:rPr>
        <w:t xml:space="preserve"> </w:t>
      </w:r>
      <w:r w:rsidRPr="008953BB">
        <w:rPr>
          <w:sz w:val="26"/>
          <w:szCs w:val="26"/>
        </w:rPr>
        <w:t>Ceasar’s elevator expert was conclusory and conflicting.</w:t>
      </w:r>
      <w:r>
        <w:rPr>
          <w:sz w:val="26"/>
          <w:szCs w:val="26"/>
        </w:rPr>
        <w:t xml:space="preserve"> </w:t>
      </w:r>
      <w:r w:rsidRPr="008953BB">
        <w:rPr>
          <w:sz w:val="26"/>
          <w:szCs w:val="26"/>
        </w:rPr>
        <w:t>The Court further held that the</w:t>
      </w:r>
      <w:r>
        <w:rPr>
          <w:sz w:val="26"/>
          <w:szCs w:val="26"/>
        </w:rPr>
        <w:t xml:space="preserve"> </w:t>
      </w:r>
      <w:r w:rsidRPr="008953BB">
        <w:rPr>
          <w:sz w:val="26"/>
          <w:szCs w:val="26"/>
        </w:rPr>
        <w:t>court’s submission of the res ipsa instruction was harmful because both of</w:t>
      </w:r>
      <w:r>
        <w:rPr>
          <w:sz w:val="26"/>
          <w:szCs w:val="26"/>
        </w:rPr>
        <w:t xml:space="preserve"> </w:t>
      </w:r>
      <w:r w:rsidRPr="008953BB">
        <w:rPr>
          <w:sz w:val="26"/>
          <w:szCs w:val="26"/>
        </w:rPr>
        <w:t>Ceasar’s negligence theories were hotly</w:t>
      </w:r>
      <w:r>
        <w:rPr>
          <w:sz w:val="26"/>
          <w:szCs w:val="26"/>
        </w:rPr>
        <w:t xml:space="preserve"> </w:t>
      </w:r>
      <w:r w:rsidRPr="008953BB">
        <w:rPr>
          <w:sz w:val="26"/>
          <w:szCs w:val="26"/>
        </w:rPr>
        <w:t>contested, and the jury returned a 10–2 verdict. Finally, the Court rejected</w:t>
      </w:r>
      <w:r>
        <w:rPr>
          <w:sz w:val="26"/>
          <w:szCs w:val="26"/>
        </w:rPr>
        <w:t xml:space="preserve"> </w:t>
      </w:r>
      <w:r w:rsidRPr="008953BB">
        <w:rPr>
          <w:sz w:val="26"/>
          <w:szCs w:val="26"/>
        </w:rPr>
        <w:t>Schindler’s challenges to a discovery</w:t>
      </w:r>
      <w:r>
        <w:rPr>
          <w:sz w:val="26"/>
          <w:szCs w:val="26"/>
        </w:rPr>
        <w:t xml:space="preserve"> </w:t>
      </w:r>
      <w:r w:rsidRPr="008953BB">
        <w:rPr>
          <w:sz w:val="26"/>
          <w:szCs w:val="26"/>
        </w:rPr>
        <w:t>sanctions order, the court’s exclusion of</w:t>
      </w:r>
      <w:r>
        <w:rPr>
          <w:sz w:val="26"/>
          <w:szCs w:val="26"/>
        </w:rPr>
        <w:t xml:space="preserve">  </w:t>
      </w:r>
      <w:r w:rsidRPr="008953BB">
        <w:rPr>
          <w:sz w:val="26"/>
          <w:szCs w:val="26"/>
        </w:rPr>
        <w:t>evidence, and the court’s refusal to include a jury instruction on spoliation</w:t>
      </w:r>
      <w:r>
        <w:rPr>
          <w:sz w:val="26"/>
          <w:szCs w:val="26"/>
        </w:rPr>
        <w:t>.</w:t>
      </w:r>
    </w:p>
    <w:p w14:paraId="2879C24C" w14:textId="77777777" w:rsidR="0081088C" w:rsidRDefault="0081088C" w:rsidP="0081088C">
      <w:pPr>
        <w:jc w:val="both"/>
        <w:rPr>
          <w:sz w:val="26"/>
          <w:szCs w:val="26"/>
        </w:rPr>
      </w:pPr>
    </w:p>
    <w:p w14:paraId="05836DCA" w14:textId="77777777" w:rsidR="0081088C" w:rsidRDefault="0081088C" w:rsidP="0081088C">
      <w:pPr>
        <w:jc w:val="both"/>
        <w:rPr>
          <w:sz w:val="26"/>
          <w:szCs w:val="26"/>
        </w:rPr>
      </w:pPr>
    </w:p>
    <w:p w14:paraId="621FB13A" w14:textId="77777777" w:rsidR="0081088C" w:rsidRPr="009E4C14" w:rsidRDefault="0081088C" w:rsidP="0081088C">
      <w:pPr>
        <w:jc w:val="both"/>
        <w:rPr>
          <w:b/>
          <w:bCs/>
          <w:sz w:val="26"/>
          <w:szCs w:val="26"/>
        </w:rPr>
      </w:pPr>
      <w:r w:rsidRPr="009E4C14">
        <w:rPr>
          <w:b/>
          <w:bCs/>
          <w:sz w:val="26"/>
          <w:szCs w:val="26"/>
        </w:rPr>
        <w:t>WRONGFUL DEATH/MENTAL ANGUISH DAMAGES</w:t>
      </w:r>
    </w:p>
    <w:p w14:paraId="74DEF32E" w14:textId="77777777" w:rsidR="0081088C" w:rsidRDefault="0081088C" w:rsidP="0081088C">
      <w:pPr>
        <w:jc w:val="both"/>
        <w:rPr>
          <w:sz w:val="26"/>
          <w:szCs w:val="26"/>
        </w:rPr>
      </w:pPr>
    </w:p>
    <w:p w14:paraId="2824283E" w14:textId="77777777" w:rsidR="0081088C" w:rsidRDefault="0081088C" w:rsidP="0081088C">
      <w:pPr>
        <w:jc w:val="both"/>
        <w:rPr>
          <w:sz w:val="26"/>
          <w:szCs w:val="26"/>
        </w:rPr>
      </w:pPr>
      <w:r w:rsidRPr="009E4C14">
        <w:rPr>
          <w:i/>
          <w:iCs/>
          <w:sz w:val="26"/>
          <w:szCs w:val="26"/>
        </w:rPr>
        <w:t>Gregory v. Chohan</w:t>
      </w:r>
      <w:r w:rsidRPr="009E4C14">
        <w:rPr>
          <w:sz w:val="26"/>
          <w:szCs w:val="26"/>
        </w:rPr>
        <w:t>, No. 21-0017, 2023 WL 4035886 (Tex. June 16, 2023</w:t>
      </w:r>
      <w:r>
        <w:rPr>
          <w:sz w:val="26"/>
          <w:szCs w:val="26"/>
        </w:rPr>
        <w:t>)</w:t>
      </w:r>
    </w:p>
    <w:p w14:paraId="0E28A82B" w14:textId="77777777" w:rsidR="0081088C" w:rsidRDefault="0081088C" w:rsidP="0081088C">
      <w:pPr>
        <w:jc w:val="both"/>
        <w:rPr>
          <w:sz w:val="26"/>
          <w:szCs w:val="26"/>
        </w:rPr>
      </w:pPr>
    </w:p>
    <w:p w14:paraId="48C844B3" w14:textId="77777777" w:rsidR="0081088C" w:rsidRDefault="0081088C" w:rsidP="0081088C">
      <w:pPr>
        <w:jc w:val="both"/>
        <w:rPr>
          <w:sz w:val="26"/>
          <w:szCs w:val="26"/>
        </w:rPr>
      </w:pPr>
      <w:r>
        <w:rPr>
          <w:sz w:val="26"/>
          <w:szCs w:val="26"/>
        </w:rPr>
        <w:t xml:space="preserve">In a case of great interest to liability insurers and defendants, the issue was the sufficiency of evidence for an award of a specific amount in mental anguish or grief damages. The Court attempted to lay down some rational bases for evaluating an award of a specific amount of these damages. The Court explained that existing nondeath cases had already </w:t>
      </w:r>
      <w:r w:rsidRPr="00574710">
        <w:rPr>
          <w:sz w:val="26"/>
          <w:szCs w:val="26"/>
        </w:rPr>
        <w:t>require</w:t>
      </w:r>
      <w:r>
        <w:rPr>
          <w:sz w:val="26"/>
          <w:szCs w:val="26"/>
        </w:rPr>
        <w:t>d</w:t>
      </w:r>
      <w:r w:rsidRPr="00574710">
        <w:rPr>
          <w:sz w:val="26"/>
          <w:szCs w:val="26"/>
        </w:rPr>
        <w:t xml:space="preserve"> legally sufficient “evidence of the nature, duration, and severity” of mental anguish to support both the existence and the </w:t>
      </w:r>
      <w:r w:rsidRPr="00574710">
        <w:rPr>
          <w:i/>
          <w:iCs/>
          <w:sz w:val="26"/>
          <w:szCs w:val="26"/>
        </w:rPr>
        <w:t>amount</w:t>
      </w:r>
      <w:r w:rsidRPr="00574710">
        <w:rPr>
          <w:sz w:val="26"/>
          <w:szCs w:val="26"/>
        </w:rPr>
        <w:t xml:space="preserve"> of compensable loss.</w:t>
      </w:r>
      <w:r>
        <w:rPr>
          <w:sz w:val="26"/>
          <w:szCs w:val="26"/>
        </w:rPr>
        <w:t xml:space="preserve"> </w:t>
      </w:r>
      <w:r w:rsidRPr="00574710">
        <w:rPr>
          <w:i/>
          <w:iCs/>
          <w:sz w:val="26"/>
          <w:szCs w:val="26"/>
        </w:rPr>
        <w:t>Gregory</w:t>
      </w:r>
      <w:r>
        <w:rPr>
          <w:sz w:val="26"/>
          <w:szCs w:val="26"/>
        </w:rPr>
        <w:t xml:space="preserve"> reinforces those cases and extends them to death cases.</w:t>
      </w:r>
    </w:p>
    <w:p w14:paraId="46006104" w14:textId="77777777" w:rsidR="0081088C" w:rsidRDefault="0081088C" w:rsidP="0081088C">
      <w:pPr>
        <w:jc w:val="both"/>
        <w:rPr>
          <w:sz w:val="26"/>
          <w:szCs w:val="26"/>
        </w:rPr>
      </w:pPr>
    </w:p>
    <w:p w14:paraId="1796B610" w14:textId="77777777" w:rsidR="0081088C" w:rsidRDefault="0081088C" w:rsidP="0081088C">
      <w:pPr>
        <w:jc w:val="both"/>
        <w:rPr>
          <w:sz w:val="26"/>
          <w:szCs w:val="26"/>
        </w:rPr>
      </w:pPr>
      <w:r w:rsidRPr="00574710">
        <w:rPr>
          <w:sz w:val="26"/>
          <w:szCs w:val="26"/>
        </w:rPr>
        <w:t>In this wrongful death case, the</w:t>
      </w:r>
      <w:r>
        <w:rPr>
          <w:sz w:val="26"/>
          <w:szCs w:val="26"/>
        </w:rPr>
        <w:t xml:space="preserve"> specific </w:t>
      </w:r>
      <w:r w:rsidRPr="00574710">
        <w:rPr>
          <w:sz w:val="26"/>
          <w:szCs w:val="26"/>
        </w:rPr>
        <w:t>issue is whether a noneconomic</w:t>
      </w:r>
      <w:r>
        <w:rPr>
          <w:sz w:val="26"/>
          <w:szCs w:val="26"/>
        </w:rPr>
        <w:t xml:space="preserve"> </w:t>
      </w:r>
      <w:r w:rsidRPr="00574710">
        <w:rPr>
          <w:sz w:val="26"/>
          <w:szCs w:val="26"/>
        </w:rPr>
        <w:t>damages award of just over $15 million</w:t>
      </w:r>
      <w:r>
        <w:rPr>
          <w:sz w:val="26"/>
          <w:szCs w:val="26"/>
        </w:rPr>
        <w:t xml:space="preserve"> wa</w:t>
      </w:r>
      <w:r w:rsidRPr="00574710">
        <w:rPr>
          <w:sz w:val="26"/>
          <w:szCs w:val="26"/>
        </w:rPr>
        <w:t>s supported by sufficient evidence.</w:t>
      </w:r>
      <w:r>
        <w:rPr>
          <w:sz w:val="26"/>
          <w:szCs w:val="26"/>
        </w:rPr>
        <w:t xml:space="preserve"> </w:t>
      </w:r>
      <w:r w:rsidRPr="00574710">
        <w:rPr>
          <w:sz w:val="26"/>
          <w:szCs w:val="26"/>
        </w:rPr>
        <w:t>Sarah Gregory—a truck driver</w:t>
      </w:r>
      <w:r>
        <w:rPr>
          <w:sz w:val="26"/>
          <w:szCs w:val="26"/>
        </w:rPr>
        <w:t xml:space="preserve"> </w:t>
      </w:r>
      <w:r w:rsidRPr="00574710">
        <w:rPr>
          <w:sz w:val="26"/>
          <w:szCs w:val="26"/>
        </w:rPr>
        <w:t>for New Prime, Inc.—jackknifed her</w:t>
      </w:r>
      <w:r>
        <w:rPr>
          <w:sz w:val="26"/>
          <w:szCs w:val="26"/>
        </w:rPr>
        <w:t xml:space="preserve"> </w:t>
      </w:r>
      <w:r w:rsidRPr="00574710">
        <w:rPr>
          <w:sz w:val="26"/>
          <w:szCs w:val="26"/>
        </w:rPr>
        <w:t>eighteen-wheeler, causing a multiple fatality, multi-vehicle pileup. Among</w:t>
      </w:r>
      <w:r>
        <w:rPr>
          <w:sz w:val="26"/>
          <w:szCs w:val="26"/>
        </w:rPr>
        <w:t xml:space="preserve"> </w:t>
      </w:r>
      <w:r w:rsidRPr="00574710">
        <w:rPr>
          <w:sz w:val="26"/>
          <w:szCs w:val="26"/>
        </w:rPr>
        <w:t>the deceased was Bhupinder Deol,</w:t>
      </w:r>
      <w:r>
        <w:rPr>
          <w:sz w:val="26"/>
          <w:szCs w:val="26"/>
        </w:rPr>
        <w:t xml:space="preserve"> </w:t>
      </w:r>
      <w:r w:rsidRPr="00574710">
        <w:rPr>
          <w:sz w:val="26"/>
          <w:szCs w:val="26"/>
        </w:rPr>
        <w:t>whose estate and family brought suit.</w:t>
      </w:r>
      <w:r>
        <w:rPr>
          <w:sz w:val="26"/>
          <w:szCs w:val="26"/>
        </w:rPr>
        <w:t xml:space="preserve"> </w:t>
      </w:r>
      <w:r w:rsidRPr="00574710">
        <w:rPr>
          <w:sz w:val="26"/>
          <w:szCs w:val="26"/>
        </w:rPr>
        <w:t>The case, which involved Deol and</w:t>
      </w:r>
      <w:r>
        <w:rPr>
          <w:sz w:val="26"/>
          <w:szCs w:val="26"/>
        </w:rPr>
        <w:t xml:space="preserve"> </w:t>
      </w:r>
      <w:r w:rsidRPr="00574710">
        <w:rPr>
          <w:sz w:val="26"/>
          <w:szCs w:val="26"/>
        </w:rPr>
        <w:t>other decedents, was tried to a jury,</w:t>
      </w:r>
      <w:r>
        <w:rPr>
          <w:sz w:val="26"/>
          <w:szCs w:val="26"/>
        </w:rPr>
        <w:t xml:space="preserve"> </w:t>
      </w:r>
      <w:r w:rsidRPr="00574710">
        <w:rPr>
          <w:sz w:val="26"/>
          <w:szCs w:val="26"/>
        </w:rPr>
        <w:t>which returned a nearly $39 million</w:t>
      </w:r>
      <w:r>
        <w:rPr>
          <w:sz w:val="26"/>
          <w:szCs w:val="26"/>
        </w:rPr>
        <w:t xml:space="preserve"> </w:t>
      </w:r>
      <w:r w:rsidRPr="00574710">
        <w:rPr>
          <w:sz w:val="26"/>
          <w:szCs w:val="26"/>
        </w:rPr>
        <w:t>verdict. Deol’s family’s share was</w:t>
      </w:r>
      <w:r>
        <w:rPr>
          <w:sz w:val="26"/>
          <w:szCs w:val="26"/>
        </w:rPr>
        <w:t xml:space="preserve"> </w:t>
      </w:r>
      <w:r w:rsidRPr="00574710">
        <w:rPr>
          <w:sz w:val="26"/>
          <w:szCs w:val="26"/>
        </w:rPr>
        <w:t>nearly $16.5 million, and the family’s</w:t>
      </w:r>
      <w:r>
        <w:rPr>
          <w:sz w:val="26"/>
          <w:szCs w:val="26"/>
        </w:rPr>
        <w:t xml:space="preserve"> </w:t>
      </w:r>
      <w:r w:rsidRPr="00574710">
        <w:rPr>
          <w:sz w:val="26"/>
          <w:szCs w:val="26"/>
        </w:rPr>
        <w:t xml:space="preserve">noneconomic damages </w:t>
      </w:r>
      <w:r w:rsidRPr="00574710">
        <w:rPr>
          <w:sz w:val="26"/>
          <w:szCs w:val="26"/>
        </w:rPr>
        <w:lastRenderedPageBreak/>
        <w:t>accounted for</w:t>
      </w:r>
      <w:r>
        <w:rPr>
          <w:sz w:val="26"/>
          <w:szCs w:val="26"/>
        </w:rPr>
        <w:t xml:space="preserve"> </w:t>
      </w:r>
      <w:r w:rsidRPr="00574710">
        <w:rPr>
          <w:sz w:val="26"/>
          <w:szCs w:val="26"/>
        </w:rPr>
        <w:t>just over $15 million. Concluding that</w:t>
      </w:r>
      <w:r>
        <w:rPr>
          <w:sz w:val="26"/>
          <w:szCs w:val="26"/>
        </w:rPr>
        <w:t xml:space="preserve"> </w:t>
      </w:r>
      <w:r w:rsidRPr="00574710">
        <w:rPr>
          <w:sz w:val="26"/>
          <w:szCs w:val="26"/>
        </w:rPr>
        <w:t>the award neither shocked the conscience nor manifested passion or prejudice, the court of appeals affirmed.</w:t>
      </w:r>
      <w:r>
        <w:rPr>
          <w:sz w:val="26"/>
          <w:szCs w:val="26"/>
        </w:rPr>
        <w:t xml:space="preserve"> </w:t>
      </w:r>
    </w:p>
    <w:p w14:paraId="0BD354F7" w14:textId="77777777" w:rsidR="0081088C" w:rsidRDefault="0081088C" w:rsidP="0081088C">
      <w:pPr>
        <w:jc w:val="both"/>
        <w:rPr>
          <w:sz w:val="26"/>
          <w:szCs w:val="26"/>
        </w:rPr>
      </w:pPr>
    </w:p>
    <w:p w14:paraId="456F3057" w14:textId="77777777" w:rsidR="0081088C" w:rsidRDefault="0081088C" w:rsidP="0081088C">
      <w:pPr>
        <w:jc w:val="both"/>
        <w:rPr>
          <w:sz w:val="26"/>
          <w:szCs w:val="26"/>
        </w:rPr>
      </w:pPr>
      <w:r w:rsidRPr="00574710">
        <w:rPr>
          <w:sz w:val="26"/>
          <w:szCs w:val="26"/>
        </w:rPr>
        <w:t xml:space="preserve">In </w:t>
      </w:r>
      <w:r w:rsidRPr="00574710">
        <w:rPr>
          <w:i/>
          <w:iCs/>
          <w:sz w:val="26"/>
          <w:szCs w:val="26"/>
        </w:rPr>
        <w:t>divided</w:t>
      </w:r>
      <w:r w:rsidRPr="00574710">
        <w:rPr>
          <w:sz w:val="26"/>
          <w:szCs w:val="26"/>
        </w:rPr>
        <w:t xml:space="preserve"> opinions, the Supreme Court of Texas reversed. Writing for a plurality, Justice Blacklock</w:t>
      </w:r>
      <w:r>
        <w:rPr>
          <w:sz w:val="26"/>
          <w:szCs w:val="26"/>
        </w:rPr>
        <w:t xml:space="preserve"> </w:t>
      </w:r>
      <w:r w:rsidRPr="00574710">
        <w:rPr>
          <w:sz w:val="26"/>
          <w:szCs w:val="26"/>
        </w:rPr>
        <w:t>concluded that parties must provide</w:t>
      </w:r>
      <w:r>
        <w:rPr>
          <w:sz w:val="26"/>
          <w:szCs w:val="26"/>
        </w:rPr>
        <w:t xml:space="preserve"> </w:t>
      </w:r>
      <w:r w:rsidRPr="00574710">
        <w:rPr>
          <w:sz w:val="26"/>
          <w:szCs w:val="26"/>
        </w:rPr>
        <w:t>both evidence of the existence of mental</w:t>
      </w:r>
      <w:r>
        <w:rPr>
          <w:sz w:val="26"/>
          <w:szCs w:val="26"/>
        </w:rPr>
        <w:t xml:space="preserve"> </w:t>
      </w:r>
      <w:r w:rsidRPr="00574710">
        <w:rPr>
          <w:sz w:val="26"/>
          <w:szCs w:val="26"/>
        </w:rPr>
        <w:t>anguish and evidence to justify the</w:t>
      </w:r>
      <w:r>
        <w:rPr>
          <w:sz w:val="26"/>
          <w:szCs w:val="26"/>
        </w:rPr>
        <w:t xml:space="preserve"> </w:t>
      </w:r>
      <w:r w:rsidRPr="00574710">
        <w:rPr>
          <w:sz w:val="26"/>
          <w:szCs w:val="26"/>
        </w:rPr>
        <w:t xml:space="preserve">amount awarded. The plurality </w:t>
      </w:r>
      <w:r>
        <w:rPr>
          <w:sz w:val="26"/>
          <w:szCs w:val="26"/>
        </w:rPr>
        <w:t xml:space="preserve">rule </w:t>
      </w:r>
      <w:r w:rsidRPr="00574710">
        <w:rPr>
          <w:sz w:val="26"/>
          <w:szCs w:val="26"/>
        </w:rPr>
        <w:t>would</w:t>
      </w:r>
      <w:r>
        <w:rPr>
          <w:sz w:val="26"/>
          <w:szCs w:val="26"/>
        </w:rPr>
        <w:t xml:space="preserve"> </w:t>
      </w:r>
      <w:r w:rsidRPr="00574710">
        <w:rPr>
          <w:sz w:val="26"/>
          <w:szCs w:val="26"/>
        </w:rPr>
        <w:t>require parties defending a noneconomic damages award to demonstrate</w:t>
      </w:r>
      <w:r>
        <w:rPr>
          <w:sz w:val="26"/>
          <w:szCs w:val="26"/>
        </w:rPr>
        <w:t xml:space="preserve"> </w:t>
      </w:r>
      <w:r w:rsidRPr="00574710">
        <w:rPr>
          <w:sz w:val="26"/>
          <w:szCs w:val="26"/>
        </w:rPr>
        <w:t>a rational connection between the evidence and the amount awarded. The</w:t>
      </w:r>
      <w:r>
        <w:rPr>
          <w:sz w:val="26"/>
          <w:szCs w:val="26"/>
        </w:rPr>
        <w:t xml:space="preserve">y announced that the </w:t>
      </w:r>
      <w:r w:rsidRPr="00574710">
        <w:rPr>
          <w:sz w:val="26"/>
          <w:szCs w:val="26"/>
        </w:rPr>
        <w:t>“shock the conscience” standard of</w:t>
      </w:r>
      <w:r>
        <w:rPr>
          <w:sz w:val="26"/>
          <w:szCs w:val="26"/>
        </w:rPr>
        <w:t xml:space="preserve"> </w:t>
      </w:r>
      <w:r w:rsidRPr="00574710">
        <w:rPr>
          <w:sz w:val="26"/>
          <w:szCs w:val="26"/>
        </w:rPr>
        <w:t xml:space="preserve">review is </w:t>
      </w:r>
      <w:r>
        <w:rPr>
          <w:sz w:val="26"/>
          <w:szCs w:val="26"/>
        </w:rPr>
        <w:t xml:space="preserve">itself </w:t>
      </w:r>
      <w:r w:rsidRPr="00574710">
        <w:rPr>
          <w:sz w:val="26"/>
          <w:szCs w:val="26"/>
        </w:rPr>
        <w:t>insufficient, and parties</w:t>
      </w:r>
      <w:r>
        <w:rPr>
          <w:sz w:val="26"/>
          <w:szCs w:val="26"/>
        </w:rPr>
        <w:t xml:space="preserve"> </w:t>
      </w:r>
      <w:r w:rsidRPr="00574710">
        <w:rPr>
          <w:sz w:val="26"/>
          <w:szCs w:val="26"/>
        </w:rPr>
        <w:t>should not rely on unsubstantiated anchors or ratios between economic and</w:t>
      </w:r>
      <w:r>
        <w:rPr>
          <w:sz w:val="26"/>
          <w:szCs w:val="26"/>
        </w:rPr>
        <w:t xml:space="preserve"> </w:t>
      </w:r>
      <w:r w:rsidRPr="00574710">
        <w:rPr>
          <w:sz w:val="26"/>
          <w:szCs w:val="26"/>
        </w:rPr>
        <w:t>noneconomic damages.</w:t>
      </w:r>
      <w:r>
        <w:rPr>
          <w:sz w:val="26"/>
          <w:szCs w:val="26"/>
        </w:rPr>
        <w:t xml:space="preserve"> An argument (or evidence) that is an </w:t>
      </w:r>
      <w:r w:rsidRPr="00E434E5">
        <w:rPr>
          <w:sz w:val="26"/>
          <w:szCs w:val="26"/>
        </w:rPr>
        <w:t>unsubstantiated anchor</w:t>
      </w:r>
      <w:r>
        <w:rPr>
          <w:sz w:val="26"/>
          <w:szCs w:val="26"/>
        </w:rPr>
        <w:t xml:space="preserve"> is </w:t>
      </w:r>
      <w:r w:rsidRPr="00E434E5">
        <w:rPr>
          <w:sz w:val="26"/>
          <w:szCs w:val="26"/>
        </w:rPr>
        <w:t>where attorneys suggest damages amounts by reference to objects or values with no rational connection to the facts of the case. Analogies employed by counsel in this case included a $71 million Boeing F-18 fighter jet and a $186 million painting by Mark Rothko.</w:t>
      </w:r>
      <w:r>
        <w:rPr>
          <w:sz w:val="26"/>
          <w:szCs w:val="26"/>
        </w:rPr>
        <w:t xml:space="preserve"> These are not appropriate. After these inappropriate references, Plaintiff Counsel </w:t>
      </w:r>
      <w:r w:rsidRPr="00E434E5">
        <w:rPr>
          <w:sz w:val="26"/>
          <w:szCs w:val="26"/>
        </w:rPr>
        <w:t>urged the jury to give defendants their “two cents worth” for every one of the 650 million miles that New Prime</w:t>
      </w:r>
      <w:r>
        <w:rPr>
          <w:sz w:val="26"/>
          <w:szCs w:val="26"/>
        </w:rPr>
        <w:t>’</w:t>
      </w:r>
      <w:r w:rsidRPr="00E434E5">
        <w:rPr>
          <w:sz w:val="26"/>
          <w:szCs w:val="26"/>
        </w:rPr>
        <w:t xml:space="preserve">s trucks drove during the year of the accident. </w:t>
      </w:r>
      <w:r>
        <w:rPr>
          <w:sz w:val="26"/>
          <w:szCs w:val="26"/>
        </w:rPr>
        <w:t>“</w:t>
      </w:r>
      <w:r w:rsidRPr="00E434E5">
        <w:rPr>
          <w:sz w:val="26"/>
          <w:szCs w:val="26"/>
        </w:rPr>
        <w:t>The unmistakable purpose of this argument is to suggest that New Prime can afford a large award and that it should be punished for denying Chohan and her family justice for Deol's death. But punitive damages are not at issue here</w:t>
      </w:r>
      <w:r>
        <w:rPr>
          <w:sz w:val="26"/>
          <w:szCs w:val="26"/>
        </w:rPr>
        <w:t xml:space="preserve">.” </w:t>
      </w:r>
      <w:r w:rsidRPr="00E434E5">
        <w:rPr>
          <w:sz w:val="26"/>
          <w:szCs w:val="26"/>
        </w:rPr>
        <w:t xml:space="preserve"> </w:t>
      </w:r>
    </w:p>
    <w:p w14:paraId="559E64AD" w14:textId="77777777" w:rsidR="0081088C" w:rsidRDefault="0081088C" w:rsidP="0081088C">
      <w:pPr>
        <w:jc w:val="both"/>
        <w:rPr>
          <w:sz w:val="26"/>
          <w:szCs w:val="26"/>
        </w:rPr>
      </w:pPr>
    </w:p>
    <w:p w14:paraId="38893057" w14:textId="77777777" w:rsidR="0081088C" w:rsidRDefault="0081088C" w:rsidP="0081088C">
      <w:pPr>
        <w:jc w:val="both"/>
        <w:rPr>
          <w:sz w:val="26"/>
          <w:szCs w:val="26"/>
        </w:rPr>
      </w:pPr>
      <w:r>
        <w:rPr>
          <w:sz w:val="26"/>
          <w:szCs w:val="26"/>
        </w:rPr>
        <w:t xml:space="preserve">An impermissible ratio is, as in </w:t>
      </w:r>
      <w:r w:rsidRPr="00E434E5">
        <w:rPr>
          <w:i/>
          <w:iCs/>
          <w:sz w:val="26"/>
          <w:szCs w:val="26"/>
        </w:rPr>
        <w:t>Gregory</w:t>
      </w:r>
      <w:r>
        <w:rPr>
          <w:sz w:val="26"/>
          <w:szCs w:val="26"/>
        </w:rPr>
        <w:t>, where Plaintiff Counsel, attempts to link high economic damages to noneconomic anguish. But the two are unrelated. “</w:t>
      </w:r>
      <w:r w:rsidRPr="00E434E5">
        <w:rPr>
          <w:sz w:val="26"/>
          <w:szCs w:val="26"/>
        </w:rPr>
        <w:t>The emotional trauma and loss experienced by the decedent's loved ones is different in kind from any lost income the family suffers because of the death. To suggest that greater pecuniary loss necessarily justifies greater noneconomic damages is to suggest that the families of a well-paid decedent suffer more grief and pain than the families of those with less income.</w:t>
      </w:r>
      <w:r>
        <w:rPr>
          <w:sz w:val="26"/>
          <w:szCs w:val="26"/>
        </w:rPr>
        <w:t>” This, the plurality notes, indeed shocks the conscience.</w:t>
      </w:r>
    </w:p>
    <w:p w14:paraId="02105E3D" w14:textId="77777777" w:rsidR="0081088C" w:rsidRDefault="0081088C" w:rsidP="0081088C">
      <w:pPr>
        <w:jc w:val="both"/>
        <w:rPr>
          <w:sz w:val="26"/>
          <w:szCs w:val="26"/>
        </w:rPr>
      </w:pPr>
    </w:p>
    <w:p w14:paraId="48FBFB76" w14:textId="77777777" w:rsidR="0081088C" w:rsidRDefault="0081088C" w:rsidP="0081088C">
      <w:pPr>
        <w:jc w:val="both"/>
        <w:rPr>
          <w:sz w:val="26"/>
          <w:szCs w:val="26"/>
        </w:rPr>
      </w:pPr>
      <w:r>
        <w:rPr>
          <w:sz w:val="26"/>
          <w:szCs w:val="26"/>
        </w:rPr>
        <w:t>So, “</w:t>
      </w:r>
      <w:r w:rsidRPr="00E434E5">
        <w:rPr>
          <w:sz w:val="26"/>
          <w:szCs w:val="26"/>
        </w:rPr>
        <w:t>to survive a legal-sufficiency challenge to an award of noneconomic damages, a wrongful death plaintiff should bear the burden of demonstrating both (1) the existence of compensable mental anguish or loss of companionship and (2) a rational connection, grounded in the evidence, between the injuries suffered and the amount awarded.</w:t>
      </w:r>
      <w:r>
        <w:rPr>
          <w:sz w:val="26"/>
          <w:szCs w:val="26"/>
        </w:rPr>
        <w:t xml:space="preserve">” Importantly, evidence of the fact of anguish is not the same as evidence of an </w:t>
      </w:r>
      <w:r w:rsidRPr="00E434E5">
        <w:rPr>
          <w:i/>
          <w:iCs/>
          <w:sz w:val="26"/>
          <w:szCs w:val="26"/>
        </w:rPr>
        <w:t>amount</w:t>
      </w:r>
      <w:r>
        <w:rPr>
          <w:sz w:val="26"/>
          <w:szCs w:val="26"/>
        </w:rPr>
        <w:t>.</w:t>
      </w:r>
    </w:p>
    <w:p w14:paraId="05EACBA5" w14:textId="77777777" w:rsidR="0081088C" w:rsidRPr="00574710" w:rsidRDefault="0081088C" w:rsidP="0081088C">
      <w:pPr>
        <w:jc w:val="both"/>
        <w:rPr>
          <w:sz w:val="26"/>
          <w:szCs w:val="26"/>
        </w:rPr>
      </w:pPr>
    </w:p>
    <w:p w14:paraId="1B932108" w14:textId="77777777" w:rsidR="0081088C" w:rsidRDefault="0081088C" w:rsidP="0081088C">
      <w:pPr>
        <w:jc w:val="both"/>
        <w:rPr>
          <w:sz w:val="26"/>
          <w:szCs w:val="26"/>
        </w:rPr>
      </w:pPr>
      <w:r w:rsidRPr="00574710">
        <w:rPr>
          <w:sz w:val="26"/>
          <w:szCs w:val="26"/>
        </w:rPr>
        <w:t>Justice Devine, joined by Justice</w:t>
      </w:r>
      <w:r>
        <w:rPr>
          <w:sz w:val="26"/>
          <w:szCs w:val="26"/>
        </w:rPr>
        <w:t xml:space="preserve"> </w:t>
      </w:r>
      <w:r w:rsidRPr="00574710">
        <w:rPr>
          <w:sz w:val="26"/>
          <w:szCs w:val="26"/>
        </w:rPr>
        <w:t>Boyd, concurred in the judgment. His</w:t>
      </w:r>
      <w:r>
        <w:rPr>
          <w:sz w:val="26"/>
          <w:szCs w:val="26"/>
        </w:rPr>
        <w:t xml:space="preserve"> </w:t>
      </w:r>
      <w:r w:rsidRPr="00574710">
        <w:rPr>
          <w:sz w:val="26"/>
          <w:szCs w:val="26"/>
        </w:rPr>
        <w:t>concurrence expressed concern that the</w:t>
      </w:r>
      <w:r>
        <w:rPr>
          <w:sz w:val="26"/>
          <w:szCs w:val="26"/>
        </w:rPr>
        <w:t xml:space="preserve"> </w:t>
      </w:r>
      <w:r w:rsidRPr="00574710">
        <w:rPr>
          <w:sz w:val="26"/>
          <w:szCs w:val="26"/>
        </w:rPr>
        <w:t>plurality’s “rational connection” requirement is an impossible standard to</w:t>
      </w:r>
      <w:r>
        <w:rPr>
          <w:sz w:val="26"/>
          <w:szCs w:val="26"/>
        </w:rPr>
        <w:t xml:space="preserve"> </w:t>
      </w:r>
      <w:r w:rsidRPr="00574710">
        <w:rPr>
          <w:sz w:val="26"/>
          <w:szCs w:val="26"/>
        </w:rPr>
        <w:t>meet that infringes upon the jury’s traditional role.</w:t>
      </w:r>
      <w:r>
        <w:rPr>
          <w:sz w:val="26"/>
          <w:szCs w:val="26"/>
        </w:rPr>
        <w:t xml:space="preserve"> </w:t>
      </w:r>
      <w:r w:rsidRPr="00574710">
        <w:rPr>
          <w:sz w:val="26"/>
          <w:szCs w:val="26"/>
        </w:rPr>
        <w:t xml:space="preserve">Justice </w:t>
      </w:r>
      <w:r w:rsidRPr="00574710">
        <w:rPr>
          <w:sz w:val="26"/>
          <w:szCs w:val="26"/>
        </w:rPr>
        <w:lastRenderedPageBreak/>
        <w:t>Bland concurred in part.</w:t>
      </w:r>
      <w:r>
        <w:rPr>
          <w:sz w:val="26"/>
          <w:szCs w:val="26"/>
        </w:rPr>
        <w:t xml:space="preserve"> </w:t>
      </w:r>
      <w:r w:rsidRPr="00574710">
        <w:rPr>
          <w:sz w:val="26"/>
          <w:szCs w:val="26"/>
        </w:rPr>
        <w:t>She agreed that improper argument affected the jury’s verdict but considered</w:t>
      </w:r>
      <w:r>
        <w:rPr>
          <w:sz w:val="26"/>
          <w:szCs w:val="26"/>
        </w:rPr>
        <w:t xml:space="preserve"> </w:t>
      </w:r>
      <w:r w:rsidRPr="00574710">
        <w:rPr>
          <w:sz w:val="26"/>
          <w:szCs w:val="26"/>
        </w:rPr>
        <w:t>that a sufficient basis for reversal in</w:t>
      </w:r>
      <w:r>
        <w:rPr>
          <w:sz w:val="26"/>
          <w:szCs w:val="26"/>
        </w:rPr>
        <w:t xml:space="preserve"> </w:t>
      </w:r>
      <w:r w:rsidRPr="00574710">
        <w:rPr>
          <w:sz w:val="26"/>
          <w:szCs w:val="26"/>
        </w:rPr>
        <w:t>this case.</w:t>
      </w:r>
    </w:p>
    <w:p w14:paraId="7666EA33" w14:textId="77777777" w:rsidR="0081088C" w:rsidRPr="00574710" w:rsidRDefault="0081088C" w:rsidP="0081088C">
      <w:pPr>
        <w:jc w:val="both"/>
        <w:rPr>
          <w:sz w:val="26"/>
          <w:szCs w:val="26"/>
        </w:rPr>
      </w:pPr>
    </w:p>
    <w:p w14:paraId="65338C81" w14:textId="77777777" w:rsidR="0081088C" w:rsidRDefault="0081088C" w:rsidP="0081088C">
      <w:pPr>
        <w:jc w:val="both"/>
        <w:rPr>
          <w:sz w:val="26"/>
          <w:szCs w:val="26"/>
        </w:rPr>
      </w:pPr>
      <w:r w:rsidRPr="00574710">
        <w:rPr>
          <w:sz w:val="26"/>
          <w:szCs w:val="26"/>
        </w:rPr>
        <w:t>The case presented a secondary</w:t>
      </w:r>
      <w:r>
        <w:rPr>
          <w:sz w:val="26"/>
          <w:szCs w:val="26"/>
        </w:rPr>
        <w:t xml:space="preserve"> </w:t>
      </w:r>
      <w:r w:rsidRPr="00574710">
        <w:rPr>
          <w:sz w:val="26"/>
          <w:szCs w:val="26"/>
        </w:rPr>
        <w:t>issue about whether ATG Transportation, another trucking company whose</w:t>
      </w:r>
      <w:r>
        <w:rPr>
          <w:sz w:val="26"/>
          <w:szCs w:val="26"/>
        </w:rPr>
        <w:t xml:space="preserve"> </w:t>
      </w:r>
      <w:r w:rsidRPr="00574710">
        <w:rPr>
          <w:sz w:val="26"/>
          <w:szCs w:val="26"/>
        </w:rPr>
        <w:t>truck overturned during the accident,</w:t>
      </w:r>
      <w:r>
        <w:rPr>
          <w:sz w:val="26"/>
          <w:szCs w:val="26"/>
        </w:rPr>
        <w:t xml:space="preserve"> </w:t>
      </w:r>
      <w:r w:rsidRPr="00574710">
        <w:rPr>
          <w:sz w:val="26"/>
          <w:szCs w:val="26"/>
        </w:rPr>
        <w:t>was wrongly excluded as a responsible</w:t>
      </w:r>
      <w:r>
        <w:rPr>
          <w:sz w:val="26"/>
          <w:szCs w:val="26"/>
        </w:rPr>
        <w:t xml:space="preserve"> </w:t>
      </w:r>
      <w:r w:rsidRPr="00574710">
        <w:rPr>
          <w:sz w:val="26"/>
          <w:szCs w:val="26"/>
        </w:rPr>
        <w:t>third party. Both concurrences agreed</w:t>
      </w:r>
      <w:r>
        <w:rPr>
          <w:sz w:val="26"/>
          <w:szCs w:val="26"/>
        </w:rPr>
        <w:t xml:space="preserve"> </w:t>
      </w:r>
      <w:r w:rsidRPr="00574710">
        <w:rPr>
          <w:sz w:val="26"/>
          <w:szCs w:val="26"/>
        </w:rPr>
        <w:t>with the plurality that ATG should</w:t>
      </w:r>
      <w:r>
        <w:rPr>
          <w:sz w:val="26"/>
          <w:szCs w:val="26"/>
        </w:rPr>
        <w:t xml:space="preserve"> </w:t>
      </w:r>
      <w:r w:rsidRPr="00574710">
        <w:rPr>
          <w:sz w:val="26"/>
          <w:szCs w:val="26"/>
        </w:rPr>
        <w:t>have been joined as a responsible third</w:t>
      </w:r>
      <w:r>
        <w:rPr>
          <w:sz w:val="26"/>
          <w:szCs w:val="26"/>
        </w:rPr>
        <w:t xml:space="preserve"> </w:t>
      </w:r>
      <w:r w:rsidRPr="00574710">
        <w:rPr>
          <w:sz w:val="26"/>
          <w:szCs w:val="26"/>
        </w:rPr>
        <w:t>party, and on that basis, the Court remanded for a new trial.</w:t>
      </w:r>
    </w:p>
    <w:p w14:paraId="05A212F3" w14:textId="77777777" w:rsidR="0081088C" w:rsidRDefault="0081088C" w:rsidP="0081088C">
      <w:pPr>
        <w:jc w:val="both"/>
        <w:rPr>
          <w:sz w:val="26"/>
          <w:szCs w:val="26"/>
        </w:rPr>
      </w:pPr>
    </w:p>
    <w:p w14:paraId="087A3FA6" w14:textId="77777777" w:rsidR="0081088C" w:rsidRDefault="0081088C" w:rsidP="0081088C">
      <w:pPr>
        <w:jc w:val="both"/>
        <w:rPr>
          <w:sz w:val="26"/>
          <w:szCs w:val="26"/>
        </w:rPr>
      </w:pPr>
    </w:p>
    <w:p w14:paraId="35BD9ED6" w14:textId="77777777" w:rsidR="0081088C" w:rsidRPr="00D408CF" w:rsidRDefault="0081088C" w:rsidP="0081088C">
      <w:pPr>
        <w:jc w:val="both"/>
        <w:rPr>
          <w:b/>
          <w:bCs/>
          <w:sz w:val="26"/>
          <w:szCs w:val="26"/>
        </w:rPr>
      </w:pPr>
      <w:r w:rsidRPr="00D408CF">
        <w:rPr>
          <w:b/>
          <w:bCs/>
          <w:sz w:val="26"/>
          <w:szCs w:val="26"/>
        </w:rPr>
        <w:t>ARBITRATION</w:t>
      </w:r>
    </w:p>
    <w:p w14:paraId="4683582D" w14:textId="77777777" w:rsidR="0081088C" w:rsidRDefault="0081088C" w:rsidP="0081088C">
      <w:pPr>
        <w:jc w:val="both"/>
        <w:rPr>
          <w:sz w:val="26"/>
          <w:szCs w:val="26"/>
        </w:rPr>
      </w:pPr>
    </w:p>
    <w:p w14:paraId="37DA876C" w14:textId="77777777" w:rsidR="0081088C" w:rsidRDefault="0081088C" w:rsidP="0081088C">
      <w:pPr>
        <w:jc w:val="both"/>
        <w:rPr>
          <w:sz w:val="26"/>
          <w:szCs w:val="26"/>
        </w:rPr>
      </w:pPr>
      <w:r w:rsidRPr="00F154E6">
        <w:rPr>
          <w:i/>
          <w:iCs/>
          <w:sz w:val="26"/>
          <w:szCs w:val="26"/>
        </w:rPr>
        <w:t>Taylor Morrison of Tex., Inc. v. Kohlmeyer</w:t>
      </w:r>
      <w:r w:rsidRPr="00F154E6">
        <w:rPr>
          <w:sz w:val="26"/>
          <w:szCs w:val="26"/>
        </w:rPr>
        <w:t>, ___ S.W.3d ___,2</w:t>
      </w:r>
      <w:r>
        <w:rPr>
          <w:sz w:val="26"/>
          <w:szCs w:val="26"/>
        </w:rPr>
        <w:t xml:space="preserve"> </w:t>
      </w:r>
      <w:r w:rsidRPr="00F154E6">
        <w:rPr>
          <w:sz w:val="26"/>
          <w:szCs w:val="26"/>
        </w:rPr>
        <w:t>1-0072</w:t>
      </w:r>
      <w:r>
        <w:rPr>
          <w:sz w:val="26"/>
          <w:szCs w:val="26"/>
        </w:rPr>
        <w:t xml:space="preserve">, </w:t>
      </w:r>
      <w:r w:rsidRPr="00F154E6">
        <w:rPr>
          <w:sz w:val="26"/>
          <w:szCs w:val="26"/>
        </w:rPr>
        <w:t>2023 WL 4278242 (Tex. June</w:t>
      </w:r>
      <w:r>
        <w:rPr>
          <w:sz w:val="26"/>
          <w:szCs w:val="26"/>
        </w:rPr>
        <w:t xml:space="preserve"> </w:t>
      </w:r>
      <w:r w:rsidRPr="00F154E6">
        <w:rPr>
          <w:sz w:val="26"/>
          <w:szCs w:val="26"/>
        </w:rPr>
        <w:t xml:space="preserve">30, 2023) (per curiam) </w:t>
      </w:r>
    </w:p>
    <w:p w14:paraId="558A023D" w14:textId="77777777" w:rsidR="0081088C" w:rsidRPr="00F154E6" w:rsidRDefault="0081088C" w:rsidP="0081088C">
      <w:pPr>
        <w:jc w:val="both"/>
        <w:rPr>
          <w:sz w:val="26"/>
          <w:szCs w:val="26"/>
        </w:rPr>
      </w:pPr>
    </w:p>
    <w:p w14:paraId="2A84CD5B" w14:textId="77777777" w:rsidR="0081088C" w:rsidRDefault="0081088C" w:rsidP="0081088C">
      <w:pPr>
        <w:jc w:val="both"/>
        <w:rPr>
          <w:sz w:val="26"/>
          <w:szCs w:val="26"/>
        </w:rPr>
      </w:pPr>
      <w:r>
        <w:rPr>
          <w:sz w:val="26"/>
          <w:szCs w:val="26"/>
        </w:rPr>
        <w:t xml:space="preserve">The Supreme Court continued to emphasize its desire to grant arbitration even where the party subject to arbitration is not the original party signing the agreement. </w:t>
      </w:r>
    </w:p>
    <w:p w14:paraId="43C6E4D0" w14:textId="77777777" w:rsidR="0081088C" w:rsidRDefault="0081088C" w:rsidP="0081088C">
      <w:pPr>
        <w:jc w:val="both"/>
        <w:rPr>
          <w:sz w:val="26"/>
          <w:szCs w:val="26"/>
        </w:rPr>
      </w:pPr>
    </w:p>
    <w:p w14:paraId="4044E7B7" w14:textId="77777777" w:rsidR="0081088C" w:rsidRDefault="0081088C" w:rsidP="0081088C">
      <w:pPr>
        <w:jc w:val="both"/>
        <w:rPr>
          <w:sz w:val="26"/>
          <w:szCs w:val="26"/>
        </w:rPr>
      </w:pPr>
      <w:r w:rsidRPr="00F154E6">
        <w:rPr>
          <w:sz w:val="26"/>
          <w:szCs w:val="26"/>
        </w:rPr>
        <w:t xml:space="preserve">The issue in this </w:t>
      </w:r>
      <w:r w:rsidRPr="00F154E6">
        <w:rPr>
          <w:i/>
          <w:iCs/>
          <w:sz w:val="26"/>
          <w:szCs w:val="26"/>
        </w:rPr>
        <w:t>per curiam</w:t>
      </w:r>
      <w:r>
        <w:rPr>
          <w:sz w:val="26"/>
          <w:szCs w:val="26"/>
        </w:rPr>
        <w:t xml:space="preserve"> (an unsigned opinion “of the court,” indicating broad agreement and no new law announced) </w:t>
      </w:r>
      <w:r w:rsidRPr="00F154E6">
        <w:rPr>
          <w:sz w:val="26"/>
          <w:szCs w:val="26"/>
        </w:rPr>
        <w:t>case is whether</w:t>
      </w:r>
      <w:r>
        <w:rPr>
          <w:sz w:val="26"/>
          <w:szCs w:val="26"/>
        </w:rPr>
        <w:t xml:space="preserve"> </w:t>
      </w:r>
      <w:r w:rsidRPr="00F154E6">
        <w:rPr>
          <w:sz w:val="26"/>
          <w:szCs w:val="26"/>
        </w:rPr>
        <w:t>subsequent purchasers of a home are</w:t>
      </w:r>
      <w:r>
        <w:rPr>
          <w:sz w:val="26"/>
          <w:szCs w:val="26"/>
        </w:rPr>
        <w:t xml:space="preserve"> </w:t>
      </w:r>
      <w:r w:rsidRPr="00F154E6">
        <w:rPr>
          <w:sz w:val="26"/>
          <w:szCs w:val="26"/>
        </w:rPr>
        <w:t>required to arbitrate their claims</w:t>
      </w:r>
      <w:r>
        <w:rPr>
          <w:sz w:val="26"/>
          <w:szCs w:val="26"/>
        </w:rPr>
        <w:t xml:space="preserve"> </w:t>
      </w:r>
      <w:r w:rsidRPr="00F154E6">
        <w:rPr>
          <w:sz w:val="26"/>
          <w:szCs w:val="26"/>
        </w:rPr>
        <w:t>against the builder for alleged construction defects.</w:t>
      </w:r>
      <w:r>
        <w:rPr>
          <w:sz w:val="26"/>
          <w:szCs w:val="26"/>
        </w:rPr>
        <w:t xml:space="preserve"> </w:t>
      </w:r>
      <w:r w:rsidRPr="00F154E6">
        <w:rPr>
          <w:sz w:val="26"/>
          <w:szCs w:val="26"/>
        </w:rPr>
        <w:t>Shortly after purchasing their</w:t>
      </w:r>
      <w:r>
        <w:rPr>
          <w:sz w:val="26"/>
          <w:szCs w:val="26"/>
        </w:rPr>
        <w:t xml:space="preserve"> </w:t>
      </w:r>
      <w:r w:rsidRPr="00F154E6">
        <w:rPr>
          <w:sz w:val="26"/>
          <w:szCs w:val="26"/>
        </w:rPr>
        <w:t>home, the Kohlmeyers sued the</w:t>
      </w:r>
      <w:r>
        <w:rPr>
          <w:sz w:val="26"/>
          <w:szCs w:val="26"/>
        </w:rPr>
        <w:t xml:space="preserve"> </w:t>
      </w:r>
      <w:r w:rsidRPr="00F154E6">
        <w:rPr>
          <w:sz w:val="26"/>
          <w:szCs w:val="26"/>
        </w:rPr>
        <w:t>builder, Taylor Morrison, for negligent</w:t>
      </w:r>
      <w:r>
        <w:rPr>
          <w:sz w:val="26"/>
          <w:szCs w:val="26"/>
        </w:rPr>
        <w:t xml:space="preserve"> </w:t>
      </w:r>
      <w:r w:rsidRPr="00F154E6">
        <w:rPr>
          <w:sz w:val="26"/>
          <w:szCs w:val="26"/>
        </w:rPr>
        <w:t>construction, violations of the Deceptive Trade Practices-Consumer Protection Act, and breach of the implied warranties of habitability and good workmanship. The Kohlmeyers allege</w:t>
      </w:r>
      <w:r>
        <w:rPr>
          <w:sz w:val="26"/>
          <w:szCs w:val="26"/>
        </w:rPr>
        <w:t>d</w:t>
      </w:r>
      <w:r w:rsidRPr="00F154E6">
        <w:rPr>
          <w:sz w:val="26"/>
          <w:szCs w:val="26"/>
        </w:rPr>
        <w:t xml:space="preserve"> that</w:t>
      </w:r>
      <w:r>
        <w:rPr>
          <w:sz w:val="26"/>
          <w:szCs w:val="26"/>
        </w:rPr>
        <w:t xml:space="preserve"> </w:t>
      </w:r>
      <w:r w:rsidRPr="00F154E6">
        <w:rPr>
          <w:sz w:val="26"/>
          <w:szCs w:val="26"/>
        </w:rPr>
        <w:t>construction defects caused a serious</w:t>
      </w:r>
      <w:r>
        <w:rPr>
          <w:sz w:val="26"/>
          <w:szCs w:val="26"/>
        </w:rPr>
        <w:t xml:space="preserve"> </w:t>
      </w:r>
      <w:r w:rsidRPr="00F154E6">
        <w:rPr>
          <w:sz w:val="26"/>
          <w:szCs w:val="26"/>
        </w:rPr>
        <w:t>mold problem in the home. Taylor Morrison filed a motion to compel arbitration of the Kohlmeyers’ claims, arguing</w:t>
      </w:r>
      <w:r>
        <w:rPr>
          <w:sz w:val="26"/>
          <w:szCs w:val="26"/>
        </w:rPr>
        <w:t xml:space="preserve"> </w:t>
      </w:r>
      <w:r w:rsidRPr="00F154E6">
        <w:rPr>
          <w:sz w:val="26"/>
          <w:szCs w:val="26"/>
        </w:rPr>
        <w:t>that the Kohlmeyers are bound by the</w:t>
      </w:r>
      <w:r>
        <w:rPr>
          <w:sz w:val="26"/>
          <w:szCs w:val="26"/>
        </w:rPr>
        <w:t xml:space="preserve"> </w:t>
      </w:r>
      <w:r w:rsidRPr="00F154E6">
        <w:rPr>
          <w:sz w:val="26"/>
          <w:szCs w:val="26"/>
        </w:rPr>
        <w:t>arbitration clause in the original purchase agreement under the doctrines of</w:t>
      </w:r>
      <w:r>
        <w:rPr>
          <w:sz w:val="26"/>
          <w:szCs w:val="26"/>
        </w:rPr>
        <w:t xml:space="preserve"> </w:t>
      </w:r>
      <w:r w:rsidRPr="00F154E6">
        <w:rPr>
          <w:sz w:val="26"/>
          <w:szCs w:val="26"/>
        </w:rPr>
        <w:t>implied assumption and direct-benefits</w:t>
      </w:r>
      <w:r>
        <w:rPr>
          <w:sz w:val="26"/>
          <w:szCs w:val="26"/>
        </w:rPr>
        <w:t xml:space="preserve"> </w:t>
      </w:r>
      <w:r w:rsidRPr="00F154E6">
        <w:rPr>
          <w:sz w:val="26"/>
          <w:szCs w:val="26"/>
        </w:rPr>
        <w:t xml:space="preserve">estoppel. </w:t>
      </w:r>
    </w:p>
    <w:p w14:paraId="2E7A1D64" w14:textId="77777777" w:rsidR="0081088C" w:rsidRDefault="0081088C" w:rsidP="0081088C">
      <w:pPr>
        <w:jc w:val="both"/>
        <w:rPr>
          <w:sz w:val="26"/>
          <w:szCs w:val="26"/>
        </w:rPr>
      </w:pPr>
    </w:p>
    <w:p w14:paraId="1DC64ADD" w14:textId="77777777" w:rsidR="0081088C" w:rsidRDefault="0081088C" w:rsidP="0081088C">
      <w:pPr>
        <w:jc w:val="both"/>
        <w:rPr>
          <w:sz w:val="26"/>
          <w:szCs w:val="26"/>
        </w:rPr>
      </w:pPr>
      <w:r w:rsidRPr="00F154E6">
        <w:rPr>
          <w:sz w:val="26"/>
          <w:szCs w:val="26"/>
        </w:rPr>
        <w:t>The trial court denied the motion to compel</w:t>
      </w:r>
      <w:r>
        <w:rPr>
          <w:sz w:val="26"/>
          <w:szCs w:val="26"/>
        </w:rPr>
        <w:t xml:space="preserve"> arbitration</w:t>
      </w:r>
      <w:r w:rsidRPr="00F154E6">
        <w:rPr>
          <w:sz w:val="26"/>
          <w:szCs w:val="26"/>
        </w:rPr>
        <w:t>, and the court of appeals</w:t>
      </w:r>
      <w:r>
        <w:rPr>
          <w:sz w:val="26"/>
          <w:szCs w:val="26"/>
        </w:rPr>
        <w:t xml:space="preserve"> </w:t>
      </w:r>
      <w:r w:rsidRPr="00F154E6">
        <w:rPr>
          <w:sz w:val="26"/>
          <w:szCs w:val="26"/>
        </w:rPr>
        <w:t>affirmed, holding that direct-benefits</w:t>
      </w:r>
      <w:r>
        <w:rPr>
          <w:sz w:val="26"/>
          <w:szCs w:val="26"/>
        </w:rPr>
        <w:t xml:space="preserve"> </w:t>
      </w:r>
      <w:r w:rsidRPr="00F154E6">
        <w:rPr>
          <w:sz w:val="26"/>
          <w:szCs w:val="26"/>
        </w:rPr>
        <w:t>estoppel does not require arbitration of</w:t>
      </w:r>
      <w:r>
        <w:rPr>
          <w:sz w:val="26"/>
          <w:szCs w:val="26"/>
        </w:rPr>
        <w:t xml:space="preserve"> these</w:t>
      </w:r>
      <w:r w:rsidRPr="00F154E6">
        <w:rPr>
          <w:sz w:val="26"/>
          <w:szCs w:val="26"/>
        </w:rPr>
        <w:t xml:space="preserve"> claims</w:t>
      </w:r>
      <w:r>
        <w:rPr>
          <w:sz w:val="26"/>
          <w:szCs w:val="26"/>
        </w:rPr>
        <w:t xml:space="preserve"> </w:t>
      </w:r>
      <w:r w:rsidRPr="00F154E6">
        <w:rPr>
          <w:sz w:val="26"/>
          <w:szCs w:val="26"/>
        </w:rPr>
        <w:t xml:space="preserve">because they do not arise solely </w:t>
      </w:r>
      <w:r w:rsidRPr="00D408CF">
        <w:rPr>
          <w:i/>
          <w:iCs/>
          <w:sz w:val="26"/>
          <w:szCs w:val="26"/>
        </w:rPr>
        <w:t>from</w:t>
      </w:r>
      <w:r>
        <w:rPr>
          <w:sz w:val="26"/>
          <w:szCs w:val="26"/>
        </w:rPr>
        <w:t xml:space="preserve"> </w:t>
      </w:r>
      <w:r w:rsidRPr="00F154E6">
        <w:rPr>
          <w:sz w:val="26"/>
          <w:szCs w:val="26"/>
        </w:rPr>
        <w:t>the original purchase agreement.</w:t>
      </w:r>
    </w:p>
    <w:p w14:paraId="5B32C957" w14:textId="77777777" w:rsidR="0081088C" w:rsidRPr="00F154E6" w:rsidRDefault="0081088C" w:rsidP="0081088C">
      <w:pPr>
        <w:jc w:val="both"/>
        <w:rPr>
          <w:sz w:val="26"/>
          <w:szCs w:val="26"/>
        </w:rPr>
      </w:pPr>
    </w:p>
    <w:p w14:paraId="4662EC44" w14:textId="77777777" w:rsidR="0081088C" w:rsidRPr="00F154E6" w:rsidRDefault="0081088C" w:rsidP="0081088C">
      <w:pPr>
        <w:jc w:val="both"/>
        <w:rPr>
          <w:sz w:val="26"/>
          <w:szCs w:val="26"/>
        </w:rPr>
      </w:pPr>
      <w:r>
        <w:rPr>
          <w:sz w:val="26"/>
          <w:szCs w:val="26"/>
        </w:rPr>
        <w:t>The</w:t>
      </w:r>
      <w:r w:rsidRPr="00F154E6">
        <w:rPr>
          <w:sz w:val="26"/>
          <w:szCs w:val="26"/>
        </w:rPr>
        <w:t xml:space="preserve"> Supreme Court explained that the court of</w:t>
      </w:r>
      <w:r>
        <w:rPr>
          <w:sz w:val="26"/>
          <w:szCs w:val="26"/>
        </w:rPr>
        <w:t xml:space="preserve"> </w:t>
      </w:r>
      <w:r w:rsidRPr="00F154E6">
        <w:rPr>
          <w:sz w:val="26"/>
          <w:szCs w:val="26"/>
        </w:rPr>
        <w:t>appeals’ opinion conflicts with the</w:t>
      </w:r>
      <w:r>
        <w:rPr>
          <w:sz w:val="26"/>
          <w:szCs w:val="26"/>
        </w:rPr>
        <w:t xml:space="preserve"> </w:t>
      </w:r>
      <w:r w:rsidRPr="00F154E6">
        <w:rPr>
          <w:sz w:val="26"/>
          <w:szCs w:val="26"/>
        </w:rPr>
        <w:t xml:space="preserve">Court’s recent opinion in </w:t>
      </w:r>
      <w:r w:rsidRPr="00D408CF">
        <w:rPr>
          <w:i/>
          <w:iCs/>
          <w:sz w:val="26"/>
          <w:szCs w:val="26"/>
        </w:rPr>
        <w:t>Lennar Homes of Texas Land &amp; Construction</w:t>
      </w:r>
      <w:r w:rsidRPr="00F154E6">
        <w:rPr>
          <w:sz w:val="26"/>
          <w:szCs w:val="26"/>
        </w:rPr>
        <w:t>,</w:t>
      </w:r>
      <w:r>
        <w:rPr>
          <w:sz w:val="26"/>
          <w:szCs w:val="26"/>
        </w:rPr>
        <w:t xml:space="preserve"> </w:t>
      </w:r>
      <w:r w:rsidRPr="00D408CF">
        <w:rPr>
          <w:i/>
          <w:iCs/>
          <w:sz w:val="26"/>
          <w:szCs w:val="26"/>
        </w:rPr>
        <w:t>Ltd. v. Whiteley</w:t>
      </w:r>
      <w:r w:rsidRPr="00F154E6">
        <w:rPr>
          <w:sz w:val="26"/>
          <w:szCs w:val="26"/>
        </w:rPr>
        <w:t xml:space="preserve">. </w:t>
      </w:r>
      <w:r>
        <w:rPr>
          <w:sz w:val="26"/>
          <w:szCs w:val="26"/>
        </w:rPr>
        <w:t>D</w:t>
      </w:r>
      <w:r w:rsidRPr="00F154E6">
        <w:rPr>
          <w:sz w:val="26"/>
          <w:szCs w:val="26"/>
        </w:rPr>
        <w:t>irect-benefits estoppel requires arbitration of all of the</w:t>
      </w:r>
      <w:r>
        <w:rPr>
          <w:sz w:val="26"/>
          <w:szCs w:val="26"/>
        </w:rPr>
        <w:t xml:space="preserve"> </w:t>
      </w:r>
      <w:r w:rsidRPr="00F154E6">
        <w:rPr>
          <w:sz w:val="26"/>
          <w:szCs w:val="26"/>
        </w:rPr>
        <w:t>Kohlmeyers’ claims. Accordingly, the</w:t>
      </w:r>
      <w:r>
        <w:rPr>
          <w:sz w:val="26"/>
          <w:szCs w:val="26"/>
        </w:rPr>
        <w:t xml:space="preserve"> </w:t>
      </w:r>
    </w:p>
    <w:p w14:paraId="5C0EC87D" w14:textId="77777777" w:rsidR="0081088C" w:rsidRDefault="0081088C" w:rsidP="0081088C">
      <w:pPr>
        <w:jc w:val="both"/>
        <w:rPr>
          <w:sz w:val="26"/>
          <w:szCs w:val="26"/>
        </w:rPr>
      </w:pPr>
      <w:r w:rsidRPr="00F154E6">
        <w:rPr>
          <w:sz w:val="26"/>
          <w:szCs w:val="26"/>
        </w:rPr>
        <w:t xml:space="preserve">Court reversed </w:t>
      </w:r>
      <w:r>
        <w:rPr>
          <w:sz w:val="26"/>
          <w:szCs w:val="26"/>
        </w:rPr>
        <w:t>and r</w:t>
      </w:r>
      <w:r w:rsidRPr="00F154E6">
        <w:rPr>
          <w:sz w:val="26"/>
          <w:szCs w:val="26"/>
        </w:rPr>
        <w:t>emanded the case to the trial</w:t>
      </w:r>
      <w:r>
        <w:rPr>
          <w:sz w:val="26"/>
          <w:szCs w:val="26"/>
        </w:rPr>
        <w:t xml:space="preserve"> </w:t>
      </w:r>
      <w:r w:rsidRPr="00F154E6">
        <w:rPr>
          <w:sz w:val="26"/>
          <w:szCs w:val="26"/>
        </w:rPr>
        <w:t>court for further proceedings</w:t>
      </w:r>
      <w:r>
        <w:rPr>
          <w:sz w:val="26"/>
          <w:szCs w:val="26"/>
        </w:rPr>
        <w:t xml:space="preserve"> (i.e. to order arbitration)</w:t>
      </w:r>
      <w:r w:rsidRPr="00F154E6">
        <w:rPr>
          <w:sz w:val="26"/>
          <w:szCs w:val="26"/>
        </w:rPr>
        <w:t>.</w:t>
      </w:r>
    </w:p>
    <w:p w14:paraId="08B4A342" w14:textId="77777777" w:rsidR="0081088C" w:rsidRPr="003B51ED" w:rsidRDefault="0081088C" w:rsidP="0081088C">
      <w:pPr>
        <w:jc w:val="both"/>
        <w:rPr>
          <w:b/>
          <w:bCs/>
          <w:sz w:val="26"/>
          <w:szCs w:val="26"/>
        </w:rPr>
      </w:pPr>
      <w:r w:rsidRPr="003B51ED">
        <w:rPr>
          <w:b/>
          <w:bCs/>
          <w:sz w:val="26"/>
          <w:szCs w:val="26"/>
        </w:rPr>
        <w:lastRenderedPageBreak/>
        <w:t>SUMMARY JUDGMENT/DISMISSAL</w:t>
      </w:r>
    </w:p>
    <w:p w14:paraId="14E7DFD7" w14:textId="77777777" w:rsidR="0081088C" w:rsidRDefault="0081088C" w:rsidP="0081088C">
      <w:pPr>
        <w:jc w:val="both"/>
        <w:rPr>
          <w:sz w:val="26"/>
          <w:szCs w:val="26"/>
        </w:rPr>
      </w:pPr>
    </w:p>
    <w:p w14:paraId="1E82EBD0" w14:textId="77777777" w:rsidR="0081088C" w:rsidRDefault="0081088C" w:rsidP="0081088C">
      <w:pPr>
        <w:jc w:val="both"/>
        <w:rPr>
          <w:sz w:val="26"/>
          <w:szCs w:val="26"/>
        </w:rPr>
      </w:pPr>
      <w:r w:rsidRPr="003B51ED">
        <w:rPr>
          <w:i/>
          <w:iCs/>
          <w:sz w:val="26"/>
          <w:szCs w:val="26"/>
        </w:rPr>
        <w:t>In re First Rsrv. Mgmt., L.P., 4140454</w:t>
      </w:r>
      <w:r>
        <w:rPr>
          <w:i/>
          <w:iCs/>
          <w:sz w:val="26"/>
          <w:szCs w:val="26"/>
        </w:rPr>
        <w:t>,</w:t>
      </w:r>
      <w:r w:rsidRPr="003B51ED">
        <w:rPr>
          <w:sz w:val="26"/>
          <w:szCs w:val="26"/>
        </w:rPr>
        <w:t xml:space="preserve"> 22-0227</w:t>
      </w:r>
      <w:r>
        <w:rPr>
          <w:sz w:val="26"/>
          <w:szCs w:val="26"/>
        </w:rPr>
        <w:t>,</w:t>
      </w:r>
      <w:r w:rsidRPr="003B51ED">
        <w:rPr>
          <w:sz w:val="26"/>
          <w:szCs w:val="26"/>
        </w:rPr>
        <w:t xml:space="preserve"> (Tex. June 23, 2023)</w:t>
      </w:r>
    </w:p>
    <w:p w14:paraId="1F9D4097" w14:textId="77777777" w:rsidR="0081088C" w:rsidRPr="003B51ED" w:rsidRDefault="0081088C" w:rsidP="0081088C">
      <w:pPr>
        <w:jc w:val="both"/>
        <w:rPr>
          <w:sz w:val="26"/>
          <w:szCs w:val="26"/>
        </w:rPr>
      </w:pPr>
    </w:p>
    <w:p w14:paraId="6EC392E8" w14:textId="77777777" w:rsidR="0081088C" w:rsidRPr="003B51ED" w:rsidRDefault="0081088C" w:rsidP="0081088C">
      <w:pPr>
        <w:jc w:val="both"/>
        <w:rPr>
          <w:sz w:val="26"/>
          <w:szCs w:val="26"/>
        </w:rPr>
      </w:pPr>
      <w:r w:rsidRPr="003B51ED">
        <w:rPr>
          <w:sz w:val="26"/>
          <w:szCs w:val="26"/>
        </w:rPr>
        <w:t xml:space="preserve">The issue </w:t>
      </w:r>
      <w:r>
        <w:rPr>
          <w:sz w:val="26"/>
          <w:szCs w:val="26"/>
        </w:rPr>
        <w:t>wa</w:t>
      </w:r>
      <w:r w:rsidRPr="003B51ED">
        <w:rPr>
          <w:sz w:val="26"/>
          <w:szCs w:val="26"/>
        </w:rPr>
        <w:t>s whether</w:t>
      </w:r>
      <w:r>
        <w:rPr>
          <w:sz w:val="26"/>
          <w:szCs w:val="26"/>
        </w:rPr>
        <w:t xml:space="preserve"> </w:t>
      </w:r>
      <w:r w:rsidRPr="003B51ED">
        <w:rPr>
          <w:sz w:val="26"/>
          <w:szCs w:val="26"/>
        </w:rPr>
        <w:t>the trial court should have dismissed</w:t>
      </w:r>
      <w:r>
        <w:rPr>
          <w:sz w:val="26"/>
          <w:szCs w:val="26"/>
        </w:rPr>
        <w:t xml:space="preserve"> </w:t>
      </w:r>
      <w:r w:rsidRPr="003B51ED">
        <w:rPr>
          <w:sz w:val="26"/>
          <w:szCs w:val="26"/>
        </w:rPr>
        <w:t>the plaintiffs’ negligent-undertaking</w:t>
      </w:r>
      <w:r>
        <w:rPr>
          <w:sz w:val="26"/>
          <w:szCs w:val="26"/>
        </w:rPr>
        <w:t xml:space="preserve"> </w:t>
      </w:r>
      <w:r w:rsidRPr="003B51ED">
        <w:rPr>
          <w:sz w:val="26"/>
          <w:szCs w:val="26"/>
        </w:rPr>
        <w:t>claim against a group of private-equity</w:t>
      </w:r>
      <w:r>
        <w:rPr>
          <w:sz w:val="26"/>
          <w:szCs w:val="26"/>
        </w:rPr>
        <w:t xml:space="preserve"> </w:t>
      </w:r>
      <w:r w:rsidRPr="003B51ED">
        <w:rPr>
          <w:sz w:val="26"/>
          <w:szCs w:val="26"/>
        </w:rPr>
        <w:t>investors under Texas Rule of Civil</w:t>
      </w:r>
    </w:p>
    <w:p w14:paraId="5FE7B502" w14:textId="77777777" w:rsidR="0081088C" w:rsidRDefault="0081088C" w:rsidP="0081088C">
      <w:pPr>
        <w:jc w:val="both"/>
        <w:rPr>
          <w:sz w:val="26"/>
          <w:szCs w:val="26"/>
        </w:rPr>
      </w:pPr>
      <w:r w:rsidRPr="003B51ED">
        <w:rPr>
          <w:sz w:val="26"/>
          <w:szCs w:val="26"/>
        </w:rPr>
        <w:t>Procedure 91a.</w:t>
      </w:r>
      <w:r>
        <w:rPr>
          <w:sz w:val="26"/>
          <w:szCs w:val="26"/>
        </w:rPr>
        <w:t xml:space="preserve"> </w:t>
      </w:r>
      <w:r w:rsidRPr="003B51ED">
        <w:rPr>
          <w:sz w:val="26"/>
          <w:szCs w:val="26"/>
        </w:rPr>
        <w:t>After explosions at a chemical</w:t>
      </w:r>
      <w:r>
        <w:rPr>
          <w:sz w:val="26"/>
          <w:szCs w:val="26"/>
        </w:rPr>
        <w:t xml:space="preserve"> </w:t>
      </w:r>
      <w:r w:rsidRPr="003B51ED">
        <w:rPr>
          <w:sz w:val="26"/>
          <w:szCs w:val="26"/>
        </w:rPr>
        <w:t>plant caused widespread damage and</w:t>
      </w:r>
      <w:r>
        <w:rPr>
          <w:sz w:val="26"/>
          <w:szCs w:val="26"/>
        </w:rPr>
        <w:t xml:space="preserve"> </w:t>
      </w:r>
      <w:r w:rsidRPr="003B51ED">
        <w:rPr>
          <w:sz w:val="26"/>
          <w:szCs w:val="26"/>
        </w:rPr>
        <w:t>injuries, thousands of lawsuits were</w:t>
      </w:r>
      <w:r>
        <w:rPr>
          <w:sz w:val="26"/>
          <w:szCs w:val="26"/>
        </w:rPr>
        <w:t xml:space="preserve"> </w:t>
      </w:r>
      <w:r w:rsidRPr="003B51ED">
        <w:rPr>
          <w:sz w:val="26"/>
          <w:szCs w:val="26"/>
        </w:rPr>
        <w:t>filed and consolidated in an MDL court</w:t>
      </w:r>
      <w:r>
        <w:rPr>
          <w:sz w:val="26"/>
          <w:szCs w:val="26"/>
        </w:rPr>
        <w:t xml:space="preserve"> </w:t>
      </w:r>
      <w:r w:rsidRPr="003B51ED">
        <w:rPr>
          <w:sz w:val="26"/>
          <w:szCs w:val="26"/>
        </w:rPr>
        <w:t>for pretrial proceedings. When it became clear that the original defendant,</w:t>
      </w:r>
      <w:r>
        <w:rPr>
          <w:sz w:val="26"/>
          <w:szCs w:val="26"/>
        </w:rPr>
        <w:t xml:space="preserve"> </w:t>
      </w:r>
      <w:r w:rsidRPr="003B51ED">
        <w:rPr>
          <w:sz w:val="26"/>
          <w:szCs w:val="26"/>
        </w:rPr>
        <w:t>plant-owner TPC, was bankrupt, Plaintiffs sued TPC’s private-equity investors, First Reserve, for negligent undertaking. Plaintiffs allege that First</w:t>
      </w:r>
      <w:r>
        <w:rPr>
          <w:sz w:val="26"/>
          <w:szCs w:val="26"/>
        </w:rPr>
        <w:t xml:space="preserve"> </w:t>
      </w:r>
      <w:r w:rsidRPr="003B51ED">
        <w:rPr>
          <w:sz w:val="26"/>
          <w:szCs w:val="26"/>
        </w:rPr>
        <w:t>Reserve undertook to take charge of</w:t>
      </w:r>
      <w:r>
        <w:rPr>
          <w:sz w:val="26"/>
          <w:szCs w:val="26"/>
        </w:rPr>
        <w:t xml:space="preserve"> </w:t>
      </w:r>
      <w:r w:rsidRPr="003B51ED">
        <w:rPr>
          <w:sz w:val="26"/>
          <w:szCs w:val="26"/>
        </w:rPr>
        <w:t>TPC’s operations and was negligent by</w:t>
      </w:r>
      <w:r>
        <w:rPr>
          <w:sz w:val="26"/>
          <w:szCs w:val="26"/>
        </w:rPr>
        <w:t xml:space="preserve"> </w:t>
      </w:r>
      <w:r w:rsidRPr="003B51ED">
        <w:rPr>
          <w:sz w:val="26"/>
          <w:szCs w:val="26"/>
        </w:rPr>
        <w:t>failing to provide resources for safety</w:t>
      </w:r>
      <w:r>
        <w:rPr>
          <w:sz w:val="26"/>
          <w:szCs w:val="26"/>
        </w:rPr>
        <w:t xml:space="preserve"> </w:t>
      </w:r>
      <w:r w:rsidRPr="003B51ED">
        <w:rPr>
          <w:sz w:val="26"/>
          <w:szCs w:val="26"/>
        </w:rPr>
        <w:t>measures that could have prevented</w:t>
      </w:r>
      <w:r>
        <w:rPr>
          <w:sz w:val="26"/>
          <w:szCs w:val="26"/>
        </w:rPr>
        <w:t xml:space="preserve"> </w:t>
      </w:r>
      <w:r w:rsidRPr="003B51ED">
        <w:rPr>
          <w:sz w:val="26"/>
          <w:szCs w:val="26"/>
        </w:rPr>
        <w:t>the explosions. The trial court denied</w:t>
      </w:r>
      <w:r>
        <w:rPr>
          <w:sz w:val="26"/>
          <w:szCs w:val="26"/>
        </w:rPr>
        <w:t xml:space="preserve"> </w:t>
      </w:r>
      <w:r w:rsidRPr="003B51ED">
        <w:rPr>
          <w:sz w:val="26"/>
          <w:szCs w:val="26"/>
        </w:rPr>
        <w:t>the motion to dismiss, and the court of</w:t>
      </w:r>
      <w:r>
        <w:rPr>
          <w:sz w:val="26"/>
          <w:szCs w:val="26"/>
        </w:rPr>
        <w:t xml:space="preserve"> </w:t>
      </w:r>
      <w:r w:rsidRPr="003B51ED">
        <w:rPr>
          <w:sz w:val="26"/>
          <w:szCs w:val="26"/>
        </w:rPr>
        <w:t>appeals denied mandamus relief.</w:t>
      </w:r>
    </w:p>
    <w:p w14:paraId="5717E8C3" w14:textId="77777777" w:rsidR="0081088C" w:rsidRPr="003B51ED" w:rsidRDefault="0081088C" w:rsidP="0081088C">
      <w:pPr>
        <w:jc w:val="both"/>
        <w:rPr>
          <w:sz w:val="26"/>
          <w:szCs w:val="26"/>
        </w:rPr>
      </w:pPr>
    </w:p>
    <w:p w14:paraId="4B497547" w14:textId="77777777" w:rsidR="0081088C" w:rsidRDefault="0081088C" w:rsidP="0081088C">
      <w:pPr>
        <w:jc w:val="both"/>
        <w:rPr>
          <w:sz w:val="26"/>
          <w:szCs w:val="26"/>
        </w:rPr>
      </w:pPr>
      <w:r w:rsidRPr="003B51ED">
        <w:rPr>
          <w:sz w:val="26"/>
          <w:szCs w:val="26"/>
        </w:rPr>
        <w:t>The Supreme Court held that</w:t>
      </w:r>
      <w:r>
        <w:rPr>
          <w:sz w:val="26"/>
          <w:szCs w:val="26"/>
        </w:rPr>
        <w:t xml:space="preserve"> </w:t>
      </w:r>
      <w:r w:rsidRPr="003B51ED">
        <w:rPr>
          <w:sz w:val="26"/>
          <w:szCs w:val="26"/>
        </w:rPr>
        <w:t>the trial court should have dismissed</w:t>
      </w:r>
      <w:r>
        <w:rPr>
          <w:sz w:val="26"/>
          <w:szCs w:val="26"/>
        </w:rPr>
        <w:t xml:space="preserve"> </w:t>
      </w:r>
      <w:r w:rsidRPr="003B51ED">
        <w:rPr>
          <w:sz w:val="26"/>
          <w:szCs w:val="26"/>
        </w:rPr>
        <w:t>the claim for lacking a basis in law. The</w:t>
      </w:r>
      <w:r>
        <w:rPr>
          <w:sz w:val="26"/>
          <w:szCs w:val="26"/>
        </w:rPr>
        <w:t xml:space="preserve"> </w:t>
      </w:r>
      <w:r w:rsidRPr="003B51ED">
        <w:rPr>
          <w:sz w:val="26"/>
          <w:szCs w:val="26"/>
        </w:rPr>
        <w:t>only factual allegation in the petition</w:t>
      </w:r>
      <w:r>
        <w:rPr>
          <w:sz w:val="26"/>
          <w:szCs w:val="26"/>
        </w:rPr>
        <w:t xml:space="preserve"> </w:t>
      </w:r>
      <w:r w:rsidRPr="003B51ED">
        <w:rPr>
          <w:sz w:val="26"/>
          <w:szCs w:val="26"/>
        </w:rPr>
        <w:t>about how First Reserve controlled</w:t>
      </w:r>
      <w:r>
        <w:rPr>
          <w:sz w:val="26"/>
          <w:szCs w:val="26"/>
        </w:rPr>
        <w:t xml:space="preserve"> </w:t>
      </w:r>
      <w:r w:rsidRPr="003B51ED">
        <w:rPr>
          <w:sz w:val="26"/>
          <w:szCs w:val="26"/>
        </w:rPr>
        <w:t>TPC’s operations is that First Reserve,</w:t>
      </w:r>
      <w:r>
        <w:rPr>
          <w:sz w:val="26"/>
          <w:szCs w:val="26"/>
        </w:rPr>
        <w:t xml:space="preserve"> </w:t>
      </w:r>
      <w:r w:rsidRPr="003B51ED">
        <w:rPr>
          <w:sz w:val="26"/>
          <w:szCs w:val="26"/>
        </w:rPr>
        <w:t>together with another investor group,</w:t>
      </w:r>
      <w:r>
        <w:rPr>
          <w:sz w:val="26"/>
          <w:szCs w:val="26"/>
        </w:rPr>
        <w:t xml:space="preserve"> </w:t>
      </w:r>
      <w:r w:rsidRPr="003B51ED">
        <w:rPr>
          <w:sz w:val="26"/>
          <w:szCs w:val="26"/>
        </w:rPr>
        <w:t>appointed four members to the five</w:t>
      </w:r>
      <w:r>
        <w:rPr>
          <w:sz w:val="26"/>
          <w:szCs w:val="26"/>
        </w:rPr>
        <w:t>-</w:t>
      </w:r>
      <w:r w:rsidRPr="003B51ED">
        <w:rPr>
          <w:sz w:val="26"/>
          <w:szCs w:val="26"/>
        </w:rPr>
        <w:t>member board of managers that governed TPC. Plaintiffs failed to plead</w:t>
      </w:r>
      <w:r>
        <w:rPr>
          <w:sz w:val="26"/>
          <w:szCs w:val="26"/>
        </w:rPr>
        <w:t xml:space="preserve"> </w:t>
      </w:r>
      <w:r w:rsidRPr="003B51ED">
        <w:rPr>
          <w:sz w:val="26"/>
          <w:szCs w:val="26"/>
        </w:rPr>
        <w:t>facts that would take First Reserve’s</w:t>
      </w:r>
      <w:r>
        <w:rPr>
          <w:sz w:val="26"/>
          <w:szCs w:val="26"/>
        </w:rPr>
        <w:t xml:space="preserve"> </w:t>
      </w:r>
      <w:r w:rsidRPr="003B51ED">
        <w:rPr>
          <w:sz w:val="26"/>
          <w:szCs w:val="26"/>
        </w:rPr>
        <w:t>conduct outside the norm of private-equity-investor behavior.</w:t>
      </w:r>
      <w:r>
        <w:rPr>
          <w:sz w:val="26"/>
          <w:szCs w:val="26"/>
        </w:rPr>
        <w:t xml:space="preserve"> </w:t>
      </w:r>
      <w:r w:rsidRPr="003B51ED">
        <w:rPr>
          <w:sz w:val="26"/>
          <w:szCs w:val="26"/>
        </w:rPr>
        <w:t>Despite its holding, the Court</w:t>
      </w:r>
      <w:r>
        <w:rPr>
          <w:sz w:val="26"/>
          <w:szCs w:val="26"/>
        </w:rPr>
        <w:t xml:space="preserve"> </w:t>
      </w:r>
      <w:r w:rsidRPr="003B51ED">
        <w:rPr>
          <w:sz w:val="26"/>
          <w:szCs w:val="26"/>
        </w:rPr>
        <w:t>declined to grant relief because of procedural irregularities in the case</w:t>
      </w:r>
      <w:r>
        <w:rPr>
          <w:sz w:val="26"/>
          <w:szCs w:val="26"/>
        </w:rPr>
        <w:t xml:space="preserve"> </w:t>
      </w:r>
      <w:r w:rsidRPr="003B51ED">
        <w:rPr>
          <w:sz w:val="26"/>
          <w:szCs w:val="26"/>
        </w:rPr>
        <w:t>caused by TPC’s bankruptcy. Justice</w:t>
      </w:r>
      <w:r>
        <w:rPr>
          <w:sz w:val="26"/>
          <w:szCs w:val="26"/>
        </w:rPr>
        <w:t xml:space="preserve"> </w:t>
      </w:r>
      <w:r w:rsidRPr="003B51ED">
        <w:rPr>
          <w:sz w:val="26"/>
          <w:szCs w:val="26"/>
        </w:rPr>
        <w:t>Boyd concurred in the Court’s disposition but did not file a separate opinion.</w:t>
      </w:r>
    </w:p>
    <w:p w14:paraId="5C2508F8" w14:textId="77777777" w:rsidR="0081088C" w:rsidRDefault="0081088C" w:rsidP="0081088C">
      <w:pPr>
        <w:jc w:val="both"/>
        <w:rPr>
          <w:sz w:val="26"/>
          <w:szCs w:val="26"/>
        </w:rPr>
      </w:pPr>
    </w:p>
    <w:p w14:paraId="13D60CAE" w14:textId="77777777" w:rsidR="0081088C" w:rsidRPr="003B51ED" w:rsidRDefault="0081088C" w:rsidP="0081088C">
      <w:pPr>
        <w:jc w:val="both"/>
        <w:rPr>
          <w:sz w:val="26"/>
          <w:szCs w:val="26"/>
        </w:rPr>
      </w:pPr>
      <w:r w:rsidRPr="00011F0B">
        <w:rPr>
          <w:i/>
          <w:iCs/>
          <w:sz w:val="26"/>
          <w:szCs w:val="26"/>
          <w:lang w:val="fr-FR"/>
        </w:rPr>
        <w:t xml:space="preserve">McLane Champions, LLC v. Hous. </w:t>
      </w:r>
      <w:r w:rsidRPr="003B51ED">
        <w:rPr>
          <w:i/>
          <w:iCs/>
          <w:sz w:val="26"/>
          <w:szCs w:val="26"/>
        </w:rPr>
        <w:t>Baseball Partners LLC</w:t>
      </w:r>
      <w:r w:rsidRPr="003B51ED">
        <w:rPr>
          <w:sz w:val="26"/>
          <w:szCs w:val="26"/>
        </w:rPr>
        <w:t>, ___ S.W.3d ___, 21-0641</w:t>
      </w:r>
      <w:r>
        <w:rPr>
          <w:sz w:val="26"/>
          <w:szCs w:val="26"/>
        </w:rPr>
        <w:t xml:space="preserve">, </w:t>
      </w:r>
      <w:r w:rsidRPr="003B51ED">
        <w:rPr>
          <w:sz w:val="26"/>
          <w:szCs w:val="26"/>
        </w:rPr>
        <w:t>2023</w:t>
      </w:r>
      <w:r>
        <w:rPr>
          <w:sz w:val="26"/>
          <w:szCs w:val="26"/>
        </w:rPr>
        <w:t xml:space="preserve"> </w:t>
      </w:r>
      <w:r w:rsidRPr="003B51ED">
        <w:rPr>
          <w:sz w:val="26"/>
          <w:szCs w:val="26"/>
        </w:rPr>
        <w:t>WL 4306378 (Tex. June 30,</w:t>
      </w:r>
      <w:r>
        <w:rPr>
          <w:sz w:val="26"/>
          <w:szCs w:val="26"/>
        </w:rPr>
        <w:t xml:space="preserve"> </w:t>
      </w:r>
      <w:r w:rsidRPr="003B51ED">
        <w:rPr>
          <w:sz w:val="26"/>
          <w:szCs w:val="26"/>
        </w:rPr>
        <w:t xml:space="preserve">2023) </w:t>
      </w:r>
    </w:p>
    <w:p w14:paraId="15B128FC" w14:textId="77777777" w:rsidR="0081088C" w:rsidRDefault="0081088C" w:rsidP="0081088C">
      <w:pPr>
        <w:jc w:val="both"/>
        <w:rPr>
          <w:sz w:val="26"/>
          <w:szCs w:val="26"/>
        </w:rPr>
      </w:pPr>
      <w:r w:rsidRPr="003B51ED">
        <w:rPr>
          <w:sz w:val="26"/>
          <w:szCs w:val="26"/>
        </w:rPr>
        <w:t xml:space="preserve">The issue </w:t>
      </w:r>
      <w:r>
        <w:rPr>
          <w:sz w:val="26"/>
          <w:szCs w:val="26"/>
        </w:rPr>
        <w:t>was</w:t>
      </w:r>
      <w:r w:rsidRPr="003B51ED">
        <w:rPr>
          <w:sz w:val="26"/>
          <w:szCs w:val="26"/>
        </w:rPr>
        <w:t xml:space="preserve"> whether</w:t>
      </w:r>
      <w:r>
        <w:rPr>
          <w:sz w:val="26"/>
          <w:szCs w:val="26"/>
        </w:rPr>
        <w:t xml:space="preserve"> </w:t>
      </w:r>
      <w:r w:rsidRPr="003B51ED">
        <w:rPr>
          <w:sz w:val="26"/>
          <w:szCs w:val="26"/>
        </w:rPr>
        <w:t>the Texas Citizens Participation Act</w:t>
      </w:r>
      <w:r>
        <w:rPr>
          <w:sz w:val="26"/>
          <w:szCs w:val="26"/>
        </w:rPr>
        <w:t xml:space="preserve"> (intended to protect Texans from </w:t>
      </w:r>
      <w:r w:rsidRPr="004A0CCD">
        <w:rPr>
          <w:sz w:val="26"/>
          <w:szCs w:val="26"/>
        </w:rPr>
        <w:t xml:space="preserve">SLAPP lawsuits </w:t>
      </w:r>
      <w:r>
        <w:rPr>
          <w:sz w:val="26"/>
          <w:szCs w:val="26"/>
        </w:rPr>
        <w:t xml:space="preserve">tending to inhibit speech on important issues) </w:t>
      </w:r>
      <w:r w:rsidRPr="003B51ED">
        <w:rPr>
          <w:sz w:val="26"/>
          <w:szCs w:val="26"/>
        </w:rPr>
        <w:t>applies to a private business</w:t>
      </w:r>
      <w:r>
        <w:rPr>
          <w:sz w:val="26"/>
          <w:szCs w:val="26"/>
        </w:rPr>
        <w:t xml:space="preserve"> </w:t>
      </w:r>
      <w:r w:rsidRPr="003B51ED">
        <w:rPr>
          <w:sz w:val="26"/>
          <w:szCs w:val="26"/>
        </w:rPr>
        <w:t>transaction between private parties</w:t>
      </w:r>
      <w:r>
        <w:rPr>
          <w:sz w:val="26"/>
          <w:szCs w:val="26"/>
        </w:rPr>
        <w:t xml:space="preserve"> </w:t>
      </w:r>
      <w:r w:rsidRPr="003B51ED">
        <w:rPr>
          <w:sz w:val="26"/>
          <w:szCs w:val="26"/>
        </w:rPr>
        <w:t>that later generates public interest.</w:t>
      </w:r>
      <w:r>
        <w:rPr>
          <w:sz w:val="26"/>
          <w:szCs w:val="26"/>
        </w:rPr>
        <w:t xml:space="preserve"> </w:t>
      </w:r>
      <w:r w:rsidRPr="003B51ED">
        <w:rPr>
          <w:sz w:val="26"/>
          <w:szCs w:val="26"/>
        </w:rPr>
        <w:t>Houston Baseball Partners purchased the Houston Astros from</w:t>
      </w:r>
      <w:r>
        <w:rPr>
          <w:sz w:val="26"/>
          <w:szCs w:val="26"/>
        </w:rPr>
        <w:t xml:space="preserve"> </w:t>
      </w:r>
      <w:r w:rsidRPr="003B51ED">
        <w:rPr>
          <w:sz w:val="26"/>
          <w:szCs w:val="26"/>
        </w:rPr>
        <w:t>McLane Champions in 2011. The deal</w:t>
      </w:r>
      <w:r>
        <w:rPr>
          <w:sz w:val="26"/>
          <w:szCs w:val="26"/>
        </w:rPr>
        <w:t xml:space="preserve"> </w:t>
      </w:r>
      <w:r w:rsidRPr="003B51ED">
        <w:rPr>
          <w:sz w:val="26"/>
          <w:szCs w:val="26"/>
        </w:rPr>
        <w:t>included both the team and its interest</w:t>
      </w:r>
      <w:r>
        <w:rPr>
          <w:sz w:val="26"/>
          <w:szCs w:val="26"/>
        </w:rPr>
        <w:t xml:space="preserve"> </w:t>
      </w:r>
      <w:r w:rsidRPr="003B51ED">
        <w:rPr>
          <w:sz w:val="26"/>
          <w:szCs w:val="26"/>
        </w:rPr>
        <w:t>in a planned regional sports network,</w:t>
      </w:r>
      <w:r>
        <w:rPr>
          <w:sz w:val="26"/>
          <w:szCs w:val="26"/>
        </w:rPr>
        <w:t xml:space="preserve"> </w:t>
      </w:r>
      <w:r w:rsidRPr="003B51ED">
        <w:rPr>
          <w:sz w:val="26"/>
          <w:szCs w:val="26"/>
        </w:rPr>
        <w:t>in which Comcast also owned an interest. Partners alleges that the Astros’</w:t>
      </w:r>
      <w:r>
        <w:rPr>
          <w:sz w:val="26"/>
          <w:szCs w:val="26"/>
        </w:rPr>
        <w:t xml:space="preserve"> </w:t>
      </w:r>
      <w:r w:rsidRPr="003B51ED">
        <w:rPr>
          <w:sz w:val="26"/>
          <w:szCs w:val="26"/>
        </w:rPr>
        <w:t>interest in the proposed network was</w:t>
      </w:r>
      <w:r>
        <w:rPr>
          <w:sz w:val="26"/>
          <w:szCs w:val="26"/>
        </w:rPr>
        <w:t xml:space="preserve"> </w:t>
      </w:r>
      <w:r w:rsidRPr="003B51ED">
        <w:rPr>
          <w:sz w:val="26"/>
          <w:szCs w:val="26"/>
        </w:rPr>
        <w:t>the primary reason Partners acquired</w:t>
      </w:r>
      <w:r>
        <w:rPr>
          <w:sz w:val="26"/>
          <w:szCs w:val="26"/>
        </w:rPr>
        <w:t xml:space="preserve"> </w:t>
      </w:r>
      <w:r w:rsidRPr="003B51ED">
        <w:rPr>
          <w:sz w:val="26"/>
          <w:szCs w:val="26"/>
        </w:rPr>
        <w:t>the team. But the network collapsed</w:t>
      </w:r>
      <w:r>
        <w:rPr>
          <w:sz w:val="26"/>
          <w:szCs w:val="26"/>
        </w:rPr>
        <w:t xml:space="preserve"> </w:t>
      </w:r>
      <w:r w:rsidRPr="003B51ED">
        <w:rPr>
          <w:sz w:val="26"/>
          <w:szCs w:val="26"/>
        </w:rPr>
        <w:t>shortly after the purchase. Partners alleged that Champions and Comcast</w:t>
      </w:r>
      <w:r>
        <w:rPr>
          <w:sz w:val="26"/>
          <w:szCs w:val="26"/>
        </w:rPr>
        <w:t xml:space="preserve"> </w:t>
      </w:r>
      <w:r w:rsidRPr="003B51ED">
        <w:rPr>
          <w:sz w:val="26"/>
          <w:szCs w:val="26"/>
        </w:rPr>
        <w:t>had materially misrepresented the proposed network’s financial prospects,</w:t>
      </w:r>
      <w:r>
        <w:rPr>
          <w:sz w:val="26"/>
          <w:szCs w:val="26"/>
        </w:rPr>
        <w:t xml:space="preserve"> </w:t>
      </w:r>
      <w:r w:rsidRPr="003B51ED">
        <w:rPr>
          <w:sz w:val="26"/>
          <w:szCs w:val="26"/>
        </w:rPr>
        <w:t>causing Partners to pay substantially</w:t>
      </w:r>
      <w:r>
        <w:rPr>
          <w:sz w:val="26"/>
          <w:szCs w:val="26"/>
        </w:rPr>
        <w:t xml:space="preserve"> </w:t>
      </w:r>
      <w:r w:rsidRPr="003B51ED">
        <w:rPr>
          <w:sz w:val="26"/>
          <w:szCs w:val="26"/>
        </w:rPr>
        <w:t>more for the Astros than the team was</w:t>
      </w:r>
      <w:r>
        <w:rPr>
          <w:sz w:val="26"/>
          <w:szCs w:val="26"/>
        </w:rPr>
        <w:t xml:space="preserve"> </w:t>
      </w:r>
      <w:r w:rsidRPr="003B51ED">
        <w:rPr>
          <w:sz w:val="26"/>
          <w:szCs w:val="26"/>
        </w:rPr>
        <w:t>worth. Partners sued, and Champions</w:t>
      </w:r>
      <w:r>
        <w:rPr>
          <w:sz w:val="26"/>
          <w:szCs w:val="26"/>
        </w:rPr>
        <w:t xml:space="preserve"> </w:t>
      </w:r>
      <w:r w:rsidRPr="003B51ED">
        <w:rPr>
          <w:sz w:val="26"/>
          <w:szCs w:val="26"/>
        </w:rPr>
        <w:t>moved to dismiss Partners’ claims under the TCPA. The trial court denied</w:t>
      </w:r>
      <w:r>
        <w:rPr>
          <w:sz w:val="26"/>
          <w:szCs w:val="26"/>
        </w:rPr>
        <w:t xml:space="preserve"> </w:t>
      </w:r>
      <w:r w:rsidRPr="003B51ED">
        <w:rPr>
          <w:sz w:val="26"/>
          <w:szCs w:val="26"/>
        </w:rPr>
        <w:t xml:space="preserve">the motion, and the court of </w:t>
      </w:r>
      <w:r w:rsidRPr="003B51ED">
        <w:rPr>
          <w:sz w:val="26"/>
          <w:szCs w:val="26"/>
        </w:rPr>
        <w:lastRenderedPageBreak/>
        <w:t>appeals affirmed.</w:t>
      </w:r>
      <w:r>
        <w:rPr>
          <w:sz w:val="26"/>
          <w:szCs w:val="26"/>
        </w:rPr>
        <w:t xml:space="preserve"> </w:t>
      </w:r>
    </w:p>
    <w:p w14:paraId="487E00BF" w14:textId="77777777" w:rsidR="0081088C" w:rsidRDefault="0081088C" w:rsidP="0081088C">
      <w:pPr>
        <w:jc w:val="both"/>
        <w:rPr>
          <w:sz w:val="26"/>
          <w:szCs w:val="26"/>
        </w:rPr>
      </w:pPr>
    </w:p>
    <w:p w14:paraId="24EF77E1" w14:textId="77777777" w:rsidR="0081088C" w:rsidRDefault="0081088C" w:rsidP="0081088C">
      <w:pPr>
        <w:jc w:val="both"/>
        <w:rPr>
          <w:sz w:val="26"/>
          <w:szCs w:val="26"/>
        </w:rPr>
      </w:pPr>
      <w:r w:rsidRPr="003B51ED">
        <w:rPr>
          <w:sz w:val="26"/>
          <w:szCs w:val="26"/>
        </w:rPr>
        <w:t>The Supreme Court affirmed,</w:t>
      </w:r>
      <w:r>
        <w:rPr>
          <w:sz w:val="26"/>
          <w:szCs w:val="26"/>
        </w:rPr>
        <w:t xml:space="preserve"> </w:t>
      </w:r>
      <w:r w:rsidRPr="003B51ED">
        <w:rPr>
          <w:sz w:val="26"/>
          <w:szCs w:val="26"/>
        </w:rPr>
        <w:t>holding that the TCPA did not apply to</w:t>
      </w:r>
      <w:r>
        <w:rPr>
          <w:sz w:val="26"/>
          <w:szCs w:val="26"/>
        </w:rPr>
        <w:t xml:space="preserve"> </w:t>
      </w:r>
      <w:r w:rsidRPr="003B51ED">
        <w:rPr>
          <w:sz w:val="26"/>
          <w:szCs w:val="26"/>
        </w:rPr>
        <w:t>Partners’ claims because Partners’ lawsuit was not based on or in response to</w:t>
      </w:r>
      <w:r>
        <w:rPr>
          <w:sz w:val="26"/>
          <w:szCs w:val="26"/>
        </w:rPr>
        <w:t xml:space="preserve"> </w:t>
      </w:r>
      <w:r w:rsidRPr="003B51ED">
        <w:rPr>
          <w:sz w:val="26"/>
          <w:szCs w:val="26"/>
        </w:rPr>
        <w:t>Champions’ exercise of either the right</w:t>
      </w:r>
      <w:r>
        <w:rPr>
          <w:sz w:val="26"/>
          <w:szCs w:val="26"/>
        </w:rPr>
        <w:t xml:space="preserve"> </w:t>
      </w:r>
      <w:r w:rsidRPr="003B51ED">
        <w:rPr>
          <w:sz w:val="26"/>
          <w:szCs w:val="26"/>
        </w:rPr>
        <w:t>of free speech or the right of association. The communications underlying</w:t>
      </w:r>
      <w:r>
        <w:rPr>
          <w:sz w:val="26"/>
          <w:szCs w:val="26"/>
        </w:rPr>
        <w:t xml:space="preserve"> </w:t>
      </w:r>
      <w:r w:rsidRPr="003B51ED">
        <w:rPr>
          <w:sz w:val="26"/>
          <w:szCs w:val="26"/>
        </w:rPr>
        <w:t>Partners’ suit were not “made in connection with a matter of public concern” because they did not hold relevance to a public audience when they</w:t>
      </w:r>
      <w:r>
        <w:rPr>
          <w:sz w:val="26"/>
          <w:szCs w:val="26"/>
        </w:rPr>
        <w:t xml:space="preserve"> </w:t>
      </w:r>
      <w:r w:rsidRPr="003B51ED">
        <w:rPr>
          <w:sz w:val="26"/>
          <w:szCs w:val="26"/>
        </w:rPr>
        <w:t>were made. Rather, the challenged</w:t>
      </w:r>
      <w:r>
        <w:rPr>
          <w:sz w:val="26"/>
          <w:szCs w:val="26"/>
        </w:rPr>
        <w:t xml:space="preserve"> </w:t>
      </w:r>
      <w:r w:rsidRPr="003B51ED">
        <w:rPr>
          <w:sz w:val="26"/>
          <w:szCs w:val="26"/>
        </w:rPr>
        <w:t>communications were private business</w:t>
      </w:r>
      <w:r>
        <w:rPr>
          <w:sz w:val="26"/>
          <w:szCs w:val="26"/>
        </w:rPr>
        <w:t xml:space="preserve"> </w:t>
      </w:r>
      <w:r w:rsidRPr="003B51ED">
        <w:rPr>
          <w:sz w:val="26"/>
          <w:szCs w:val="26"/>
        </w:rPr>
        <w:t>negotiations in an arms-length transaction subject to a nondisclosure agreement relevant only to the private business interests of the parties. And the</w:t>
      </w:r>
      <w:r>
        <w:rPr>
          <w:sz w:val="26"/>
          <w:szCs w:val="26"/>
        </w:rPr>
        <w:t xml:space="preserve"> </w:t>
      </w:r>
      <w:r w:rsidRPr="003B51ED">
        <w:rPr>
          <w:sz w:val="26"/>
          <w:szCs w:val="26"/>
        </w:rPr>
        <w:t>“common interest” that individuals join</w:t>
      </w:r>
      <w:r>
        <w:rPr>
          <w:sz w:val="26"/>
          <w:szCs w:val="26"/>
        </w:rPr>
        <w:t xml:space="preserve"> </w:t>
      </w:r>
      <w:r w:rsidRPr="003B51ED">
        <w:rPr>
          <w:sz w:val="26"/>
          <w:szCs w:val="26"/>
        </w:rPr>
        <w:t>together to express, promote, pursue,</w:t>
      </w:r>
      <w:r>
        <w:rPr>
          <w:sz w:val="26"/>
          <w:szCs w:val="26"/>
        </w:rPr>
        <w:t xml:space="preserve"> </w:t>
      </w:r>
      <w:r w:rsidRPr="003B51ED">
        <w:rPr>
          <w:sz w:val="26"/>
          <w:szCs w:val="26"/>
        </w:rPr>
        <w:t>or defend when exercising that right</w:t>
      </w:r>
      <w:r>
        <w:rPr>
          <w:sz w:val="26"/>
          <w:szCs w:val="26"/>
        </w:rPr>
        <w:t xml:space="preserve"> </w:t>
      </w:r>
      <w:r w:rsidRPr="003B51ED">
        <w:rPr>
          <w:sz w:val="26"/>
          <w:szCs w:val="26"/>
        </w:rPr>
        <w:t>under the TCPA must relate to a</w:t>
      </w:r>
      <w:r>
        <w:rPr>
          <w:sz w:val="26"/>
          <w:szCs w:val="26"/>
        </w:rPr>
        <w:t xml:space="preserve"> </w:t>
      </w:r>
      <w:r w:rsidRPr="003B51ED">
        <w:rPr>
          <w:sz w:val="26"/>
          <w:szCs w:val="26"/>
        </w:rPr>
        <w:t>government proceeding or a matter of</w:t>
      </w:r>
      <w:r>
        <w:rPr>
          <w:sz w:val="26"/>
          <w:szCs w:val="26"/>
        </w:rPr>
        <w:t xml:space="preserve"> </w:t>
      </w:r>
      <w:r w:rsidRPr="003B51ED">
        <w:rPr>
          <w:sz w:val="26"/>
          <w:szCs w:val="26"/>
        </w:rPr>
        <w:t>public concern. Because the interest</w:t>
      </w:r>
      <w:r>
        <w:rPr>
          <w:sz w:val="26"/>
          <w:szCs w:val="26"/>
        </w:rPr>
        <w:t xml:space="preserve"> </w:t>
      </w:r>
      <w:r w:rsidRPr="003B51ED">
        <w:rPr>
          <w:sz w:val="26"/>
          <w:szCs w:val="26"/>
        </w:rPr>
        <w:t>that Champions joined with Comcast to</w:t>
      </w:r>
      <w:r>
        <w:rPr>
          <w:sz w:val="26"/>
          <w:szCs w:val="26"/>
        </w:rPr>
        <w:t xml:space="preserve"> </w:t>
      </w:r>
      <w:r w:rsidRPr="003B51ED">
        <w:rPr>
          <w:sz w:val="26"/>
          <w:szCs w:val="26"/>
        </w:rPr>
        <w:t>promote was their mutual private business interests, the Court held that the</w:t>
      </w:r>
      <w:r>
        <w:rPr>
          <w:sz w:val="26"/>
          <w:szCs w:val="26"/>
        </w:rPr>
        <w:t xml:space="preserve"> </w:t>
      </w:r>
      <w:r w:rsidRPr="003B51ED">
        <w:rPr>
          <w:sz w:val="26"/>
          <w:szCs w:val="26"/>
        </w:rPr>
        <w:t>TCPA did not apply.</w:t>
      </w:r>
      <w:r>
        <w:rPr>
          <w:sz w:val="26"/>
          <w:szCs w:val="26"/>
        </w:rPr>
        <w:t xml:space="preserve"> </w:t>
      </w:r>
    </w:p>
    <w:p w14:paraId="11D6BA13" w14:textId="77777777" w:rsidR="0081088C" w:rsidRDefault="0081088C" w:rsidP="0081088C">
      <w:pPr>
        <w:jc w:val="both"/>
        <w:rPr>
          <w:sz w:val="26"/>
          <w:szCs w:val="26"/>
        </w:rPr>
      </w:pPr>
    </w:p>
    <w:p w14:paraId="75AD1B61" w14:textId="77777777" w:rsidR="0081088C" w:rsidRPr="003B51ED" w:rsidRDefault="0081088C" w:rsidP="0081088C">
      <w:pPr>
        <w:jc w:val="both"/>
        <w:rPr>
          <w:sz w:val="26"/>
          <w:szCs w:val="26"/>
        </w:rPr>
      </w:pPr>
      <w:r w:rsidRPr="003B51ED">
        <w:rPr>
          <w:sz w:val="26"/>
          <w:szCs w:val="26"/>
        </w:rPr>
        <w:t>Chief Justice Hecht, joined by</w:t>
      </w:r>
      <w:r>
        <w:rPr>
          <w:sz w:val="26"/>
          <w:szCs w:val="26"/>
        </w:rPr>
        <w:t xml:space="preserve"> </w:t>
      </w:r>
      <w:r w:rsidRPr="003B51ED">
        <w:rPr>
          <w:sz w:val="26"/>
          <w:szCs w:val="26"/>
        </w:rPr>
        <w:t>Justice Blacklock, dissented. He would</w:t>
      </w:r>
      <w:r>
        <w:rPr>
          <w:sz w:val="26"/>
          <w:szCs w:val="26"/>
        </w:rPr>
        <w:t xml:space="preserve"> </w:t>
      </w:r>
      <w:r w:rsidRPr="003B51ED">
        <w:rPr>
          <w:sz w:val="26"/>
          <w:szCs w:val="26"/>
        </w:rPr>
        <w:t>have held that Partners’ suit implicated Champions’ right to free speech</w:t>
      </w:r>
      <w:r>
        <w:rPr>
          <w:sz w:val="26"/>
          <w:szCs w:val="26"/>
        </w:rPr>
        <w:t xml:space="preserve"> </w:t>
      </w:r>
      <w:r w:rsidRPr="003B51ED">
        <w:rPr>
          <w:sz w:val="26"/>
          <w:szCs w:val="26"/>
        </w:rPr>
        <w:t>under the TCPA and that Partners</w:t>
      </w:r>
    </w:p>
    <w:p w14:paraId="0D004616" w14:textId="77777777" w:rsidR="0081088C" w:rsidRDefault="0081088C" w:rsidP="0081088C">
      <w:pPr>
        <w:jc w:val="both"/>
        <w:rPr>
          <w:sz w:val="26"/>
          <w:szCs w:val="26"/>
        </w:rPr>
      </w:pPr>
      <w:r w:rsidRPr="003B51ED">
        <w:rPr>
          <w:sz w:val="26"/>
          <w:szCs w:val="26"/>
        </w:rPr>
        <w:t>failed to make a prima facie case for its</w:t>
      </w:r>
      <w:r>
        <w:rPr>
          <w:sz w:val="26"/>
          <w:szCs w:val="26"/>
        </w:rPr>
        <w:t xml:space="preserve"> </w:t>
      </w:r>
      <w:r w:rsidRPr="003B51ED">
        <w:rPr>
          <w:sz w:val="26"/>
          <w:szCs w:val="26"/>
        </w:rPr>
        <w:t>fraud-based claims.</w:t>
      </w:r>
      <w:r>
        <w:rPr>
          <w:sz w:val="26"/>
          <w:szCs w:val="26"/>
        </w:rPr>
        <w:t xml:space="preserve"> </w:t>
      </w:r>
      <w:r w:rsidRPr="003B51ED">
        <w:rPr>
          <w:sz w:val="26"/>
          <w:szCs w:val="26"/>
        </w:rPr>
        <w:t>Justice Blacklock dissented separately to further highlight that the basis for Partners’ lawsuit is substantially undermined by the Astros’ extraordinary competitive and financial</w:t>
      </w:r>
      <w:r>
        <w:rPr>
          <w:sz w:val="26"/>
          <w:szCs w:val="26"/>
        </w:rPr>
        <w:t xml:space="preserve"> </w:t>
      </w:r>
      <w:r w:rsidRPr="003B51ED">
        <w:rPr>
          <w:sz w:val="26"/>
          <w:szCs w:val="26"/>
        </w:rPr>
        <w:t>success under Partners’ ownership.</w:t>
      </w:r>
    </w:p>
    <w:p w14:paraId="5E8D788E" w14:textId="77777777" w:rsidR="0081088C" w:rsidRDefault="0081088C" w:rsidP="0081088C">
      <w:pPr>
        <w:jc w:val="both"/>
        <w:rPr>
          <w:sz w:val="26"/>
          <w:szCs w:val="26"/>
        </w:rPr>
      </w:pPr>
    </w:p>
    <w:p w14:paraId="4CA6138F" w14:textId="77777777" w:rsidR="0081088C" w:rsidRDefault="0081088C" w:rsidP="0081088C">
      <w:pPr>
        <w:jc w:val="both"/>
        <w:rPr>
          <w:sz w:val="26"/>
          <w:szCs w:val="26"/>
        </w:rPr>
      </w:pPr>
    </w:p>
    <w:p w14:paraId="7456D31F" w14:textId="77777777" w:rsidR="0081088C" w:rsidRPr="00D408CF" w:rsidRDefault="0081088C" w:rsidP="0081088C">
      <w:pPr>
        <w:jc w:val="both"/>
        <w:rPr>
          <w:b/>
          <w:bCs/>
          <w:sz w:val="26"/>
          <w:szCs w:val="26"/>
        </w:rPr>
      </w:pPr>
      <w:r>
        <w:rPr>
          <w:b/>
          <w:bCs/>
          <w:sz w:val="26"/>
          <w:szCs w:val="26"/>
        </w:rPr>
        <w:t>CORPORATIONS</w:t>
      </w:r>
    </w:p>
    <w:p w14:paraId="41EE4FE9" w14:textId="77777777" w:rsidR="0081088C" w:rsidRPr="00D408CF" w:rsidRDefault="0081088C" w:rsidP="0081088C">
      <w:pPr>
        <w:jc w:val="both"/>
        <w:rPr>
          <w:b/>
          <w:bCs/>
          <w:sz w:val="26"/>
          <w:szCs w:val="26"/>
        </w:rPr>
      </w:pPr>
    </w:p>
    <w:p w14:paraId="6E7C7D07" w14:textId="77777777" w:rsidR="0081088C" w:rsidRPr="00520327" w:rsidRDefault="0081088C" w:rsidP="0081088C">
      <w:pPr>
        <w:jc w:val="both"/>
        <w:rPr>
          <w:sz w:val="26"/>
          <w:szCs w:val="26"/>
        </w:rPr>
      </w:pPr>
      <w:r w:rsidRPr="00520327">
        <w:rPr>
          <w:i/>
          <w:iCs/>
          <w:sz w:val="26"/>
          <w:szCs w:val="26"/>
        </w:rPr>
        <w:t>Skeels v. Suder</w:t>
      </w:r>
      <w:r w:rsidRPr="00520327">
        <w:rPr>
          <w:sz w:val="26"/>
          <w:szCs w:val="26"/>
        </w:rPr>
        <w:t>, ___ S.W.3d</w:t>
      </w:r>
      <w:r>
        <w:rPr>
          <w:sz w:val="26"/>
          <w:szCs w:val="26"/>
        </w:rPr>
        <w:t xml:space="preserve"> </w:t>
      </w:r>
      <w:r w:rsidRPr="00520327">
        <w:rPr>
          <w:sz w:val="26"/>
          <w:szCs w:val="26"/>
        </w:rPr>
        <w:t>___, 2023 WL 4140683</w:t>
      </w:r>
      <w:r>
        <w:rPr>
          <w:sz w:val="26"/>
          <w:szCs w:val="26"/>
        </w:rPr>
        <w:t>,</w:t>
      </w:r>
      <w:r w:rsidRPr="00520327">
        <w:rPr>
          <w:sz w:val="26"/>
          <w:szCs w:val="26"/>
        </w:rPr>
        <w:t xml:space="preserve"> 21-1014 (Tex.</w:t>
      </w:r>
      <w:r>
        <w:rPr>
          <w:sz w:val="26"/>
          <w:szCs w:val="26"/>
        </w:rPr>
        <w:t xml:space="preserve"> </w:t>
      </w:r>
      <w:r w:rsidRPr="00520327">
        <w:rPr>
          <w:sz w:val="26"/>
          <w:szCs w:val="26"/>
        </w:rPr>
        <w:t xml:space="preserve">June 23, 2023) </w:t>
      </w:r>
    </w:p>
    <w:p w14:paraId="38D55826" w14:textId="77777777" w:rsidR="0081088C" w:rsidRDefault="0081088C" w:rsidP="0081088C">
      <w:pPr>
        <w:jc w:val="both"/>
        <w:rPr>
          <w:sz w:val="26"/>
          <w:szCs w:val="26"/>
        </w:rPr>
      </w:pPr>
    </w:p>
    <w:p w14:paraId="6BA38524" w14:textId="77777777" w:rsidR="0081088C" w:rsidRDefault="0081088C" w:rsidP="0081088C">
      <w:pPr>
        <w:jc w:val="both"/>
        <w:rPr>
          <w:sz w:val="26"/>
          <w:szCs w:val="26"/>
        </w:rPr>
      </w:pPr>
      <w:r w:rsidRPr="00520327">
        <w:rPr>
          <w:sz w:val="26"/>
          <w:szCs w:val="26"/>
        </w:rPr>
        <w:t>The issue in this declaratory-judgment suit is whether a corporate resolution authorized a law firm to</w:t>
      </w:r>
      <w:r>
        <w:rPr>
          <w:sz w:val="26"/>
          <w:szCs w:val="26"/>
        </w:rPr>
        <w:t xml:space="preserve"> </w:t>
      </w:r>
      <w:r w:rsidRPr="00520327">
        <w:rPr>
          <w:sz w:val="26"/>
          <w:szCs w:val="26"/>
        </w:rPr>
        <w:t>redeem a departing shareholder’s</w:t>
      </w:r>
      <w:r>
        <w:rPr>
          <w:sz w:val="26"/>
          <w:szCs w:val="26"/>
        </w:rPr>
        <w:t xml:space="preserve"> </w:t>
      </w:r>
      <w:r w:rsidRPr="00520327">
        <w:rPr>
          <w:sz w:val="26"/>
          <w:szCs w:val="26"/>
        </w:rPr>
        <w:t>shares on terms unilaterally set by the</w:t>
      </w:r>
      <w:r>
        <w:rPr>
          <w:sz w:val="26"/>
          <w:szCs w:val="26"/>
        </w:rPr>
        <w:t xml:space="preserve"> </w:t>
      </w:r>
      <w:r w:rsidRPr="00520327">
        <w:rPr>
          <w:sz w:val="26"/>
          <w:szCs w:val="26"/>
        </w:rPr>
        <w:t>firm’s founders.</w:t>
      </w:r>
      <w:r>
        <w:rPr>
          <w:sz w:val="26"/>
          <w:szCs w:val="26"/>
        </w:rPr>
        <w:t xml:space="preserve"> </w:t>
      </w:r>
      <w:r w:rsidRPr="00520327">
        <w:rPr>
          <w:sz w:val="26"/>
          <w:szCs w:val="26"/>
        </w:rPr>
        <w:t>As a shareholder in a law firm,</w:t>
      </w:r>
      <w:r>
        <w:rPr>
          <w:sz w:val="26"/>
          <w:szCs w:val="26"/>
        </w:rPr>
        <w:t xml:space="preserve"> </w:t>
      </w:r>
      <w:r w:rsidRPr="00520327">
        <w:rPr>
          <w:sz w:val="26"/>
          <w:szCs w:val="26"/>
        </w:rPr>
        <w:t>David Skeels signed a corporate resolution generally authorizing the firm’s</w:t>
      </w:r>
      <w:r>
        <w:rPr>
          <w:sz w:val="26"/>
          <w:szCs w:val="26"/>
        </w:rPr>
        <w:t xml:space="preserve"> </w:t>
      </w:r>
      <w:r w:rsidRPr="00520327">
        <w:rPr>
          <w:sz w:val="26"/>
          <w:szCs w:val="26"/>
        </w:rPr>
        <w:t>founders “to take affirmative action on</w:t>
      </w:r>
      <w:r>
        <w:rPr>
          <w:sz w:val="26"/>
          <w:szCs w:val="26"/>
        </w:rPr>
        <w:t xml:space="preserve"> </w:t>
      </w:r>
      <w:r w:rsidRPr="00520327">
        <w:rPr>
          <w:sz w:val="26"/>
          <w:szCs w:val="26"/>
        </w:rPr>
        <w:t>behalf of the Firm.” After his relationship with the firm soured, the firm terminated his employment and proposed</w:t>
      </w:r>
      <w:r>
        <w:rPr>
          <w:sz w:val="26"/>
          <w:szCs w:val="26"/>
        </w:rPr>
        <w:t xml:space="preserve"> </w:t>
      </w:r>
      <w:r w:rsidRPr="00520327">
        <w:rPr>
          <w:sz w:val="26"/>
          <w:szCs w:val="26"/>
        </w:rPr>
        <w:t>separation terms, including that Skeels</w:t>
      </w:r>
      <w:r>
        <w:rPr>
          <w:sz w:val="26"/>
          <w:szCs w:val="26"/>
        </w:rPr>
        <w:t xml:space="preserve"> </w:t>
      </w:r>
      <w:r w:rsidRPr="00520327">
        <w:rPr>
          <w:sz w:val="26"/>
          <w:szCs w:val="26"/>
        </w:rPr>
        <w:t>relinquish his rights to his shares.</w:t>
      </w:r>
      <w:r>
        <w:rPr>
          <w:sz w:val="26"/>
          <w:szCs w:val="26"/>
        </w:rPr>
        <w:t xml:space="preserve"> </w:t>
      </w:r>
      <w:r w:rsidRPr="00520327">
        <w:rPr>
          <w:sz w:val="26"/>
          <w:szCs w:val="26"/>
        </w:rPr>
        <w:t>When Skeels did not agree, the founders purported to redeem his shares at</w:t>
      </w:r>
      <w:r>
        <w:rPr>
          <w:sz w:val="26"/>
          <w:szCs w:val="26"/>
        </w:rPr>
        <w:t xml:space="preserve"> </w:t>
      </w:r>
      <w:r w:rsidRPr="00520327">
        <w:rPr>
          <w:sz w:val="26"/>
          <w:szCs w:val="26"/>
        </w:rPr>
        <w:t>no cost. Skeels then sued the firm and</w:t>
      </w:r>
      <w:r>
        <w:rPr>
          <w:sz w:val="26"/>
          <w:szCs w:val="26"/>
        </w:rPr>
        <w:t xml:space="preserve"> </w:t>
      </w:r>
      <w:r w:rsidRPr="00520327">
        <w:rPr>
          <w:sz w:val="26"/>
          <w:szCs w:val="26"/>
        </w:rPr>
        <w:t>two of its founders, and the firm counterclaimed. Both sides raised competing declaratory-judgment claims on</w:t>
      </w:r>
      <w:r>
        <w:rPr>
          <w:sz w:val="26"/>
          <w:szCs w:val="26"/>
        </w:rPr>
        <w:t xml:space="preserve"> </w:t>
      </w:r>
      <w:r w:rsidRPr="00520327">
        <w:rPr>
          <w:sz w:val="26"/>
          <w:szCs w:val="26"/>
        </w:rPr>
        <w:t>whether the resolution authorized the</w:t>
      </w:r>
      <w:r>
        <w:rPr>
          <w:sz w:val="26"/>
          <w:szCs w:val="26"/>
        </w:rPr>
        <w:t xml:space="preserve"> </w:t>
      </w:r>
      <w:r w:rsidRPr="00520327">
        <w:rPr>
          <w:sz w:val="26"/>
          <w:szCs w:val="26"/>
        </w:rPr>
        <w:t xml:space="preserve">founders’ redemption actions. </w:t>
      </w:r>
    </w:p>
    <w:p w14:paraId="7B37A006" w14:textId="77777777" w:rsidR="0081088C" w:rsidRDefault="0081088C" w:rsidP="0081088C">
      <w:pPr>
        <w:jc w:val="both"/>
        <w:rPr>
          <w:sz w:val="26"/>
          <w:szCs w:val="26"/>
        </w:rPr>
      </w:pPr>
    </w:p>
    <w:p w14:paraId="20030064" w14:textId="77777777" w:rsidR="0081088C" w:rsidRDefault="0081088C" w:rsidP="0081088C">
      <w:pPr>
        <w:jc w:val="both"/>
        <w:rPr>
          <w:sz w:val="26"/>
          <w:szCs w:val="26"/>
        </w:rPr>
      </w:pPr>
      <w:r w:rsidRPr="00520327">
        <w:rPr>
          <w:sz w:val="26"/>
          <w:szCs w:val="26"/>
        </w:rPr>
        <w:lastRenderedPageBreak/>
        <w:t>In a pretrial ruling, the trial court declared</w:t>
      </w:r>
      <w:r>
        <w:rPr>
          <w:sz w:val="26"/>
          <w:szCs w:val="26"/>
        </w:rPr>
        <w:t xml:space="preserve"> </w:t>
      </w:r>
      <w:r w:rsidRPr="00520327">
        <w:rPr>
          <w:sz w:val="26"/>
          <w:szCs w:val="26"/>
        </w:rPr>
        <w:t>that it did, and the court of appeals affirmed.</w:t>
      </w:r>
      <w:r>
        <w:rPr>
          <w:sz w:val="26"/>
          <w:szCs w:val="26"/>
        </w:rPr>
        <w:t xml:space="preserve"> </w:t>
      </w:r>
      <w:r w:rsidRPr="00520327">
        <w:rPr>
          <w:sz w:val="26"/>
          <w:szCs w:val="26"/>
        </w:rPr>
        <w:t>The Supreme Court reversed.</w:t>
      </w:r>
      <w:r>
        <w:rPr>
          <w:sz w:val="26"/>
          <w:szCs w:val="26"/>
        </w:rPr>
        <w:t xml:space="preserve"> </w:t>
      </w:r>
      <w:r w:rsidRPr="00520327">
        <w:rPr>
          <w:sz w:val="26"/>
          <w:szCs w:val="26"/>
        </w:rPr>
        <w:t>The Court held that the resolution, by</w:t>
      </w:r>
      <w:r>
        <w:rPr>
          <w:sz w:val="26"/>
          <w:szCs w:val="26"/>
        </w:rPr>
        <w:t xml:space="preserve"> </w:t>
      </w:r>
      <w:r w:rsidRPr="00520327">
        <w:rPr>
          <w:sz w:val="26"/>
          <w:szCs w:val="26"/>
        </w:rPr>
        <w:t>modifying “affirmative action” with “on</w:t>
      </w:r>
      <w:r>
        <w:rPr>
          <w:sz w:val="26"/>
          <w:szCs w:val="26"/>
        </w:rPr>
        <w:t xml:space="preserve"> </w:t>
      </w:r>
      <w:r w:rsidRPr="00520327">
        <w:rPr>
          <w:sz w:val="26"/>
          <w:szCs w:val="26"/>
        </w:rPr>
        <w:t>behalf of the Firm,” authorized the</w:t>
      </w:r>
      <w:r>
        <w:rPr>
          <w:sz w:val="26"/>
          <w:szCs w:val="26"/>
        </w:rPr>
        <w:t xml:space="preserve"> </w:t>
      </w:r>
      <w:r w:rsidRPr="00520327">
        <w:rPr>
          <w:sz w:val="26"/>
          <w:szCs w:val="26"/>
        </w:rPr>
        <w:t xml:space="preserve">founders to take </w:t>
      </w:r>
      <w:r>
        <w:rPr>
          <w:sz w:val="26"/>
          <w:szCs w:val="26"/>
        </w:rPr>
        <w:t xml:space="preserve">any </w:t>
      </w:r>
      <w:r w:rsidRPr="00520327">
        <w:rPr>
          <w:sz w:val="26"/>
          <w:szCs w:val="26"/>
        </w:rPr>
        <w:t>action the firm could</w:t>
      </w:r>
      <w:r>
        <w:rPr>
          <w:sz w:val="26"/>
          <w:szCs w:val="26"/>
        </w:rPr>
        <w:t xml:space="preserve"> </w:t>
      </w:r>
      <w:r w:rsidRPr="00520327">
        <w:rPr>
          <w:sz w:val="26"/>
          <w:szCs w:val="26"/>
        </w:rPr>
        <w:t>take, but it neither expanded the scope</w:t>
      </w:r>
      <w:r>
        <w:rPr>
          <w:sz w:val="26"/>
          <w:szCs w:val="26"/>
        </w:rPr>
        <w:t xml:space="preserve"> </w:t>
      </w:r>
      <w:r w:rsidRPr="00520327">
        <w:rPr>
          <w:sz w:val="26"/>
          <w:szCs w:val="26"/>
        </w:rPr>
        <w:t>of the firm’s authorized actions nor constituted an agreement that the founders may set redemption terms on</w:t>
      </w:r>
      <w:r>
        <w:rPr>
          <w:sz w:val="26"/>
          <w:szCs w:val="26"/>
        </w:rPr>
        <w:t xml:space="preserve"> </w:t>
      </w:r>
      <w:r w:rsidRPr="00520327">
        <w:rPr>
          <w:sz w:val="26"/>
          <w:szCs w:val="26"/>
        </w:rPr>
        <w:t>Skeels’s behalf. And because the firm</w:t>
      </w:r>
      <w:r>
        <w:rPr>
          <w:sz w:val="26"/>
          <w:szCs w:val="26"/>
        </w:rPr>
        <w:t xml:space="preserve"> </w:t>
      </w:r>
      <w:r w:rsidRPr="00520327">
        <w:rPr>
          <w:sz w:val="26"/>
          <w:szCs w:val="26"/>
        </w:rPr>
        <w:t>was not authorized to set the redemption terms without Skeels’s agreement,</w:t>
      </w:r>
      <w:r>
        <w:rPr>
          <w:sz w:val="26"/>
          <w:szCs w:val="26"/>
        </w:rPr>
        <w:t xml:space="preserve"> </w:t>
      </w:r>
      <w:r w:rsidRPr="00520327">
        <w:rPr>
          <w:sz w:val="26"/>
          <w:szCs w:val="26"/>
        </w:rPr>
        <w:t>the Court held that the resolution did</w:t>
      </w:r>
      <w:r>
        <w:rPr>
          <w:sz w:val="26"/>
          <w:szCs w:val="26"/>
        </w:rPr>
        <w:t xml:space="preserve"> </w:t>
      </w:r>
      <w:r w:rsidRPr="00520327">
        <w:rPr>
          <w:sz w:val="26"/>
          <w:szCs w:val="26"/>
        </w:rPr>
        <w:t>not independently authorize the founders to unilaterally set those terms.</w:t>
      </w:r>
      <w:r>
        <w:rPr>
          <w:sz w:val="26"/>
          <w:szCs w:val="26"/>
        </w:rPr>
        <w:t xml:space="preserve"> </w:t>
      </w:r>
      <w:r w:rsidRPr="00520327">
        <w:rPr>
          <w:sz w:val="26"/>
          <w:szCs w:val="26"/>
        </w:rPr>
        <w:t>Chief Justice Hecht dissented, concluding that Skeels agreed in the resolution</w:t>
      </w:r>
      <w:r>
        <w:rPr>
          <w:sz w:val="26"/>
          <w:szCs w:val="26"/>
        </w:rPr>
        <w:t xml:space="preserve"> </w:t>
      </w:r>
      <w:r w:rsidRPr="00520327">
        <w:rPr>
          <w:sz w:val="26"/>
          <w:szCs w:val="26"/>
        </w:rPr>
        <w:t>that the firm could redeem his shares</w:t>
      </w:r>
      <w:r>
        <w:rPr>
          <w:sz w:val="26"/>
          <w:szCs w:val="26"/>
        </w:rPr>
        <w:t xml:space="preserve"> </w:t>
      </w:r>
      <w:r w:rsidRPr="00520327">
        <w:rPr>
          <w:sz w:val="26"/>
          <w:szCs w:val="26"/>
        </w:rPr>
        <w:t>on his departure without payment.</w:t>
      </w:r>
    </w:p>
    <w:p w14:paraId="2E32B9B2" w14:textId="77777777" w:rsidR="0081088C" w:rsidRDefault="0081088C" w:rsidP="0081088C">
      <w:pPr>
        <w:jc w:val="both"/>
        <w:rPr>
          <w:sz w:val="26"/>
          <w:szCs w:val="26"/>
        </w:rPr>
      </w:pPr>
    </w:p>
    <w:p w14:paraId="6B0AB26F" w14:textId="77777777" w:rsidR="0081088C" w:rsidRDefault="0081088C" w:rsidP="0081088C">
      <w:pPr>
        <w:jc w:val="both"/>
        <w:rPr>
          <w:sz w:val="26"/>
          <w:szCs w:val="26"/>
        </w:rPr>
      </w:pPr>
    </w:p>
    <w:p w14:paraId="146C4530" w14:textId="77777777" w:rsidR="0081088C" w:rsidRPr="00A179B7" w:rsidRDefault="0081088C" w:rsidP="0081088C">
      <w:pPr>
        <w:jc w:val="both"/>
        <w:rPr>
          <w:b/>
          <w:bCs/>
          <w:sz w:val="26"/>
          <w:szCs w:val="26"/>
        </w:rPr>
      </w:pPr>
      <w:r w:rsidRPr="00A179B7">
        <w:rPr>
          <w:b/>
          <w:bCs/>
          <w:sz w:val="26"/>
          <w:szCs w:val="26"/>
        </w:rPr>
        <w:t>EMPLOYMENT</w:t>
      </w:r>
    </w:p>
    <w:p w14:paraId="18A6F577" w14:textId="77777777" w:rsidR="0081088C" w:rsidRPr="004338DD" w:rsidRDefault="0081088C" w:rsidP="0081088C">
      <w:pPr>
        <w:jc w:val="both"/>
        <w:rPr>
          <w:sz w:val="26"/>
          <w:szCs w:val="26"/>
        </w:rPr>
      </w:pPr>
    </w:p>
    <w:p w14:paraId="5823A474" w14:textId="77777777" w:rsidR="0081088C" w:rsidRDefault="0081088C" w:rsidP="0081088C">
      <w:pPr>
        <w:jc w:val="both"/>
        <w:rPr>
          <w:sz w:val="26"/>
          <w:szCs w:val="26"/>
        </w:rPr>
      </w:pPr>
      <w:r w:rsidRPr="00A179B7">
        <w:rPr>
          <w:i/>
          <w:iCs/>
          <w:sz w:val="26"/>
          <w:szCs w:val="26"/>
        </w:rPr>
        <w:t>Tex. Tech Univ. Health Scis.</w:t>
      </w:r>
      <w:r>
        <w:rPr>
          <w:i/>
          <w:iCs/>
          <w:sz w:val="26"/>
          <w:szCs w:val="26"/>
        </w:rPr>
        <w:t xml:space="preserve"> </w:t>
      </w:r>
      <w:r w:rsidRPr="00A179B7">
        <w:rPr>
          <w:i/>
          <w:iCs/>
          <w:sz w:val="26"/>
          <w:szCs w:val="26"/>
        </w:rPr>
        <w:t>Ctr.–El Paso v. Niehay</w:t>
      </w:r>
      <w:r w:rsidRPr="00A179B7">
        <w:rPr>
          <w:sz w:val="26"/>
          <w:szCs w:val="26"/>
        </w:rPr>
        <w:t>, ___</w:t>
      </w:r>
      <w:r>
        <w:rPr>
          <w:sz w:val="26"/>
          <w:szCs w:val="26"/>
        </w:rPr>
        <w:t xml:space="preserve"> </w:t>
      </w:r>
      <w:r w:rsidRPr="00A179B7">
        <w:rPr>
          <w:sz w:val="26"/>
          <w:szCs w:val="26"/>
        </w:rPr>
        <w:t>S.W.3d ___, 22-0179</w:t>
      </w:r>
      <w:r>
        <w:rPr>
          <w:sz w:val="26"/>
          <w:szCs w:val="26"/>
        </w:rPr>
        <w:t xml:space="preserve">, </w:t>
      </w:r>
      <w:r w:rsidRPr="00A179B7">
        <w:rPr>
          <w:sz w:val="26"/>
          <w:szCs w:val="26"/>
        </w:rPr>
        <w:t>2023 WL</w:t>
      </w:r>
      <w:r>
        <w:rPr>
          <w:sz w:val="26"/>
          <w:szCs w:val="26"/>
        </w:rPr>
        <w:t xml:space="preserve"> </w:t>
      </w:r>
      <w:r w:rsidRPr="00A179B7">
        <w:rPr>
          <w:sz w:val="26"/>
          <w:szCs w:val="26"/>
        </w:rPr>
        <w:t>4278585 (Tex. June 30, 2023)</w:t>
      </w:r>
      <w:r>
        <w:rPr>
          <w:sz w:val="26"/>
          <w:szCs w:val="26"/>
        </w:rPr>
        <w:t xml:space="preserve"> </w:t>
      </w:r>
    </w:p>
    <w:p w14:paraId="6A68E841" w14:textId="77777777" w:rsidR="0081088C" w:rsidRDefault="0081088C" w:rsidP="0081088C">
      <w:pPr>
        <w:jc w:val="both"/>
        <w:rPr>
          <w:sz w:val="26"/>
          <w:szCs w:val="26"/>
        </w:rPr>
      </w:pPr>
    </w:p>
    <w:p w14:paraId="55A2F7F4" w14:textId="77777777" w:rsidR="0081088C" w:rsidRDefault="0081088C" w:rsidP="0081088C">
      <w:pPr>
        <w:jc w:val="both"/>
        <w:rPr>
          <w:sz w:val="26"/>
          <w:szCs w:val="26"/>
        </w:rPr>
      </w:pPr>
      <w:r w:rsidRPr="00A179B7">
        <w:rPr>
          <w:sz w:val="26"/>
          <w:szCs w:val="26"/>
        </w:rPr>
        <w:t>The issue is whether</w:t>
      </w:r>
      <w:r>
        <w:rPr>
          <w:sz w:val="26"/>
          <w:szCs w:val="26"/>
        </w:rPr>
        <w:t xml:space="preserve"> </w:t>
      </w:r>
      <w:r w:rsidRPr="00A179B7">
        <w:rPr>
          <w:sz w:val="26"/>
          <w:szCs w:val="26"/>
        </w:rPr>
        <w:t>morbid obesity qualifies as an “impairment” under the Texas Commission on</w:t>
      </w:r>
      <w:r>
        <w:rPr>
          <w:sz w:val="26"/>
          <w:szCs w:val="26"/>
        </w:rPr>
        <w:t xml:space="preserve"> </w:t>
      </w:r>
      <w:r w:rsidRPr="00A179B7">
        <w:rPr>
          <w:sz w:val="26"/>
          <w:szCs w:val="26"/>
        </w:rPr>
        <w:t xml:space="preserve">Human Rights Act </w:t>
      </w:r>
      <w:r>
        <w:rPr>
          <w:sz w:val="26"/>
          <w:szCs w:val="26"/>
        </w:rPr>
        <w:t>(</w:t>
      </w:r>
      <w:r w:rsidRPr="00A179B7">
        <w:rPr>
          <w:sz w:val="26"/>
          <w:szCs w:val="26"/>
        </w:rPr>
        <w:t>TCHRA</w:t>
      </w:r>
      <w:r>
        <w:rPr>
          <w:sz w:val="26"/>
          <w:szCs w:val="26"/>
        </w:rPr>
        <w:t xml:space="preserve">) </w:t>
      </w:r>
      <w:r w:rsidRPr="00A179B7">
        <w:rPr>
          <w:sz w:val="26"/>
          <w:szCs w:val="26"/>
        </w:rPr>
        <w:t>without evidence</w:t>
      </w:r>
      <w:r>
        <w:rPr>
          <w:sz w:val="26"/>
          <w:szCs w:val="26"/>
        </w:rPr>
        <w:t xml:space="preserve"> </w:t>
      </w:r>
      <w:r w:rsidRPr="00A179B7">
        <w:rPr>
          <w:sz w:val="26"/>
          <w:szCs w:val="26"/>
        </w:rPr>
        <w:t xml:space="preserve">that it is caused by an </w:t>
      </w:r>
      <w:r w:rsidRPr="00A179B7">
        <w:rPr>
          <w:i/>
          <w:iCs/>
          <w:sz w:val="26"/>
          <w:szCs w:val="26"/>
        </w:rPr>
        <w:t>underlying</w:t>
      </w:r>
      <w:r w:rsidRPr="00A179B7">
        <w:rPr>
          <w:sz w:val="26"/>
          <w:szCs w:val="26"/>
        </w:rPr>
        <w:t xml:space="preserve"> disorder or condition.</w:t>
      </w:r>
      <w:r>
        <w:rPr>
          <w:sz w:val="26"/>
          <w:szCs w:val="26"/>
        </w:rPr>
        <w:t xml:space="preserve"> </w:t>
      </w:r>
      <w:r w:rsidRPr="00A179B7">
        <w:rPr>
          <w:sz w:val="26"/>
          <w:szCs w:val="26"/>
        </w:rPr>
        <w:t>Texas Tech dismissed Dr. Lindsey Niehay from its medical residency</w:t>
      </w:r>
      <w:r>
        <w:rPr>
          <w:sz w:val="26"/>
          <w:szCs w:val="26"/>
        </w:rPr>
        <w:t xml:space="preserve"> </w:t>
      </w:r>
      <w:r w:rsidRPr="00A179B7">
        <w:rPr>
          <w:sz w:val="26"/>
          <w:szCs w:val="26"/>
        </w:rPr>
        <w:t>program, and Niehay sued for disability discrimination. claiming that Texas</w:t>
      </w:r>
      <w:r>
        <w:rPr>
          <w:sz w:val="26"/>
          <w:szCs w:val="26"/>
        </w:rPr>
        <w:t xml:space="preserve"> </w:t>
      </w:r>
      <w:r w:rsidRPr="00A179B7">
        <w:rPr>
          <w:sz w:val="26"/>
          <w:szCs w:val="26"/>
        </w:rPr>
        <w:t>Tech dismissed her because it regarded</w:t>
      </w:r>
      <w:r>
        <w:rPr>
          <w:sz w:val="26"/>
          <w:szCs w:val="26"/>
        </w:rPr>
        <w:t xml:space="preserve"> </w:t>
      </w:r>
      <w:r w:rsidRPr="00A179B7">
        <w:rPr>
          <w:sz w:val="26"/>
          <w:szCs w:val="26"/>
        </w:rPr>
        <w:t>her as being morbidly obese. Texas</w:t>
      </w:r>
      <w:r>
        <w:rPr>
          <w:sz w:val="26"/>
          <w:szCs w:val="26"/>
        </w:rPr>
        <w:t xml:space="preserve"> </w:t>
      </w:r>
      <w:r w:rsidRPr="00A179B7">
        <w:rPr>
          <w:sz w:val="26"/>
          <w:szCs w:val="26"/>
        </w:rPr>
        <w:t>Tech filed a combined plea to the jurisdiction and motion for summary</w:t>
      </w:r>
      <w:r>
        <w:rPr>
          <w:sz w:val="26"/>
          <w:szCs w:val="26"/>
        </w:rPr>
        <w:t xml:space="preserve"> </w:t>
      </w:r>
      <w:r w:rsidRPr="00A179B7">
        <w:rPr>
          <w:sz w:val="26"/>
          <w:szCs w:val="26"/>
        </w:rPr>
        <w:t>judgment, asserting that Niehay had</w:t>
      </w:r>
      <w:r>
        <w:rPr>
          <w:sz w:val="26"/>
          <w:szCs w:val="26"/>
        </w:rPr>
        <w:t xml:space="preserve"> </w:t>
      </w:r>
      <w:r w:rsidRPr="00A179B7">
        <w:rPr>
          <w:sz w:val="26"/>
          <w:szCs w:val="26"/>
        </w:rPr>
        <w:t>not shown a disability as defined by the</w:t>
      </w:r>
      <w:r>
        <w:rPr>
          <w:sz w:val="26"/>
          <w:szCs w:val="26"/>
        </w:rPr>
        <w:t xml:space="preserve"> </w:t>
      </w:r>
      <w:r w:rsidRPr="00A179B7">
        <w:rPr>
          <w:sz w:val="26"/>
          <w:szCs w:val="26"/>
        </w:rPr>
        <w:t>TCHRA. Specifically, Texas Tech argued that morbid obesity is not a disability without evidence that it is caused</w:t>
      </w:r>
      <w:r>
        <w:rPr>
          <w:sz w:val="26"/>
          <w:szCs w:val="26"/>
        </w:rPr>
        <w:t xml:space="preserve"> </w:t>
      </w:r>
      <w:r w:rsidRPr="00A179B7">
        <w:rPr>
          <w:sz w:val="26"/>
          <w:szCs w:val="26"/>
        </w:rPr>
        <w:t xml:space="preserve">by an underlying physiological disorder. </w:t>
      </w:r>
    </w:p>
    <w:p w14:paraId="680F2C85" w14:textId="77777777" w:rsidR="0081088C" w:rsidRDefault="0081088C" w:rsidP="0081088C">
      <w:pPr>
        <w:jc w:val="both"/>
        <w:rPr>
          <w:sz w:val="26"/>
          <w:szCs w:val="26"/>
        </w:rPr>
      </w:pPr>
    </w:p>
    <w:p w14:paraId="292BE533" w14:textId="77777777" w:rsidR="0081088C" w:rsidRDefault="0081088C" w:rsidP="0081088C">
      <w:pPr>
        <w:jc w:val="both"/>
        <w:rPr>
          <w:sz w:val="26"/>
          <w:szCs w:val="26"/>
        </w:rPr>
      </w:pPr>
      <w:r w:rsidRPr="00A179B7">
        <w:rPr>
          <w:sz w:val="26"/>
          <w:szCs w:val="26"/>
        </w:rPr>
        <w:t>The trial court denied the plea and</w:t>
      </w:r>
      <w:r>
        <w:rPr>
          <w:sz w:val="26"/>
          <w:szCs w:val="26"/>
        </w:rPr>
        <w:t xml:space="preserve"> </w:t>
      </w:r>
      <w:r w:rsidRPr="00A179B7">
        <w:rPr>
          <w:sz w:val="26"/>
          <w:szCs w:val="26"/>
        </w:rPr>
        <w:t>motion, and the court of appeals affirmed.</w:t>
      </w:r>
      <w:r>
        <w:rPr>
          <w:sz w:val="26"/>
          <w:szCs w:val="26"/>
        </w:rPr>
        <w:t xml:space="preserve"> </w:t>
      </w:r>
      <w:r w:rsidRPr="00A179B7">
        <w:rPr>
          <w:sz w:val="26"/>
          <w:szCs w:val="26"/>
        </w:rPr>
        <w:t>The Supreme Court reversed.</w:t>
      </w:r>
      <w:r>
        <w:rPr>
          <w:sz w:val="26"/>
          <w:szCs w:val="26"/>
        </w:rPr>
        <w:t xml:space="preserve"> </w:t>
      </w:r>
      <w:r w:rsidRPr="00A179B7">
        <w:rPr>
          <w:sz w:val="26"/>
          <w:szCs w:val="26"/>
        </w:rPr>
        <w:t>The majority opinion, authored by</w:t>
      </w:r>
      <w:r>
        <w:rPr>
          <w:sz w:val="26"/>
          <w:szCs w:val="26"/>
        </w:rPr>
        <w:t xml:space="preserve"> </w:t>
      </w:r>
      <w:r w:rsidRPr="00A179B7">
        <w:rPr>
          <w:sz w:val="26"/>
          <w:szCs w:val="26"/>
        </w:rPr>
        <w:t>Chief Justice Hecht, held that the plain</w:t>
      </w:r>
      <w:r>
        <w:rPr>
          <w:sz w:val="26"/>
          <w:szCs w:val="26"/>
        </w:rPr>
        <w:t xml:space="preserve"> </w:t>
      </w:r>
      <w:r w:rsidRPr="00A179B7">
        <w:rPr>
          <w:sz w:val="26"/>
          <w:szCs w:val="26"/>
        </w:rPr>
        <w:t>language of the TCHRA’s definition of</w:t>
      </w:r>
      <w:r>
        <w:rPr>
          <w:sz w:val="26"/>
          <w:szCs w:val="26"/>
        </w:rPr>
        <w:t xml:space="preserve"> </w:t>
      </w:r>
      <w:r w:rsidRPr="00A179B7">
        <w:rPr>
          <w:sz w:val="26"/>
          <w:szCs w:val="26"/>
        </w:rPr>
        <w:t>disability as “a mental or physical impairment” requires an impairment to</w:t>
      </w:r>
      <w:r>
        <w:rPr>
          <w:sz w:val="26"/>
          <w:szCs w:val="26"/>
        </w:rPr>
        <w:t xml:space="preserve"> </w:t>
      </w:r>
      <w:r w:rsidRPr="00A179B7">
        <w:rPr>
          <w:sz w:val="26"/>
          <w:szCs w:val="26"/>
        </w:rPr>
        <w:t>have an underlying a physiological disorder or condition. It further held that</w:t>
      </w:r>
      <w:r>
        <w:rPr>
          <w:sz w:val="26"/>
          <w:szCs w:val="26"/>
        </w:rPr>
        <w:t xml:space="preserve"> </w:t>
      </w:r>
      <w:r w:rsidRPr="00A179B7">
        <w:rPr>
          <w:sz w:val="26"/>
          <w:szCs w:val="26"/>
        </w:rPr>
        <w:t>weight is not a physiological disorder or</w:t>
      </w:r>
      <w:r>
        <w:rPr>
          <w:sz w:val="26"/>
          <w:szCs w:val="26"/>
        </w:rPr>
        <w:t xml:space="preserve"> </w:t>
      </w:r>
      <w:r w:rsidRPr="00A179B7">
        <w:rPr>
          <w:sz w:val="26"/>
          <w:szCs w:val="26"/>
        </w:rPr>
        <w:t>condition—it is a physical characteristic. Niehay presented no evidence that</w:t>
      </w:r>
      <w:r>
        <w:rPr>
          <w:sz w:val="26"/>
          <w:szCs w:val="26"/>
        </w:rPr>
        <w:t xml:space="preserve"> </w:t>
      </w:r>
      <w:r w:rsidRPr="00A179B7">
        <w:rPr>
          <w:sz w:val="26"/>
          <w:szCs w:val="26"/>
        </w:rPr>
        <w:t>her morbid obesity is caused by an underlying physiological disorder or that</w:t>
      </w:r>
      <w:r>
        <w:rPr>
          <w:sz w:val="26"/>
          <w:szCs w:val="26"/>
        </w:rPr>
        <w:t xml:space="preserve"> </w:t>
      </w:r>
      <w:r w:rsidRPr="00A179B7">
        <w:rPr>
          <w:sz w:val="26"/>
          <w:szCs w:val="26"/>
        </w:rPr>
        <w:t>Texas Tech perceived it as such, so the</w:t>
      </w:r>
      <w:r>
        <w:rPr>
          <w:sz w:val="26"/>
          <w:szCs w:val="26"/>
        </w:rPr>
        <w:t xml:space="preserve"> </w:t>
      </w:r>
      <w:r w:rsidRPr="00A179B7">
        <w:rPr>
          <w:sz w:val="26"/>
          <w:szCs w:val="26"/>
        </w:rPr>
        <w:t>Court ultimately held that Niehay has</w:t>
      </w:r>
      <w:r>
        <w:rPr>
          <w:sz w:val="26"/>
          <w:szCs w:val="26"/>
        </w:rPr>
        <w:t xml:space="preserve"> </w:t>
      </w:r>
      <w:r w:rsidRPr="00A179B7">
        <w:rPr>
          <w:sz w:val="26"/>
          <w:szCs w:val="26"/>
        </w:rPr>
        <w:t>not shown a disability under the</w:t>
      </w:r>
      <w:r>
        <w:rPr>
          <w:sz w:val="26"/>
          <w:szCs w:val="26"/>
        </w:rPr>
        <w:t xml:space="preserve"> </w:t>
      </w:r>
      <w:r w:rsidRPr="00A179B7">
        <w:rPr>
          <w:sz w:val="26"/>
          <w:szCs w:val="26"/>
        </w:rPr>
        <w:t>TCHRA.</w:t>
      </w:r>
      <w:r>
        <w:rPr>
          <w:sz w:val="26"/>
          <w:szCs w:val="26"/>
        </w:rPr>
        <w:t xml:space="preserve"> </w:t>
      </w:r>
    </w:p>
    <w:p w14:paraId="1404AB2C" w14:textId="77777777" w:rsidR="0081088C" w:rsidRDefault="0081088C" w:rsidP="0081088C">
      <w:pPr>
        <w:jc w:val="both"/>
        <w:rPr>
          <w:sz w:val="26"/>
          <w:szCs w:val="26"/>
        </w:rPr>
      </w:pPr>
    </w:p>
    <w:p w14:paraId="12278211" w14:textId="77777777" w:rsidR="0081088C" w:rsidRDefault="0081088C" w:rsidP="0081088C">
      <w:pPr>
        <w:jc w:val="both"/>
        <w:rPr>
          <w:sz w:val="26"/>
          <w:szCs w:val="26"/>
        </w:rPr>
      </w:pPr>
      <w:r w:rsidRPr="00A179B7">
        <w:rPr>
          <w:sz w:val="26"/>
          <w:szCs w:val="26"/>
        </w:rPr>
        <w:t>Justice Blacklock filed a concurring opinion, joined by two other justices. He emphasized that the medical</w:t>
      </w:r>
      <w:r>
        <w:rPr>
          <w:sz w:val="26"/>
          <w:szCs w:val="26"/>
        </w:rPr>
        <w:t xml:space="preserve"> </w:t>
      </w:r>
      <w:r w:rsidRPr="00A179B7">
        <w:rPr>
          <w:sz w:val="26"/>
          <w:szCs w:val="26"/>
        </w:rPr>
        <w:t>community’s current understanding of</w:t>
      </w:r>
      <w:r>
        <w:rPr>
          <w:sz w:val="26"/>
          <w:szCs w:val="26"/>
        </w:rPr>
        <w:t xml:space="preserve"> </w:t>
      </w:r>
      <w:r w:rsidRPr="00A179B7">
        <w:rPr>
          <w:sz w:val="26"/>
          <w:szCs w:val="26"/>
        </w:rPr>
        <w:t xml:space="preserve">morbid obesity is not a basis for interpreting fixed statutory language enacted in 1993 and that while </w:t>
      </w:r>
      <w:r w:rsidRPr="00A179B7">
        <w:rPr>
          <w:sz w:val="26"/>
          <w:szCs w:val="26"/>
        </w:rPr>
        <w:lastRenderedPageBreak/>
        <w:t>Texas</w:t>
      </w:r>
      <w:r>
        <w:rPr>
          <w:sz w:val="26"/>
          <w:szCs w:val="26"/>
        </w:rPr>
        <w:t xml:space="preserve"> </w:t>
      </w:r>
      <w:r w:rsidRPr="00A179B7">
        <w:rPr>
          <w:sz w:val="26"/>
          <w:szCs w:val="26"/>
        </w:rPr>
        <w:t>courts may look to federal law for assistance, federal authorities are not binding on Texas courts interpreting the</w:t>
      </w:r>
      <w:r>
        <w:rPr>
          <w:sz w:val="26"/>
          <w:szCs w:val="26"/>
        </w:rPr>
        <w:t xml:space="preserve"> </w:t>
      </w:r>
      <w:r w:rsidRPr="00A179B7">
        <w:rPr>
          <w:sz w:val="26"/>
          <w:szCs w:val="26"/>
        </w:rPr>
        <w:t>TCHRA.</w:t>
      </w:r>
      <w:r>
        <w:rPr>
          <w:sz w:val="26"/>
          <w:szCs w:val="26"/>
        </w:rPr>
        <w:t xml:space="preserve"> </w:t>
      </w:r>
    </w:p>
    <w:p w14:paraId="10B579CE" w14:textId="77777777" w:rsidR="0081088C" w:rsidRDefault="0081088C" w:rsidP="0081088C">
      <w:pPr>
        <w:jc w:val="both"/>
        <w:rPr>
          <w:sz w:val="26"/>
          <w:szCs w:val="26"/>
        </w:rPr>
      </w:pPr>
    </w:p>
    <w:p w14:paraId="1D0E8D15" w14:textId="77777777" w:rsidR="0081088C" w:rsidRDefault="0081088C" w:rsidP="0081088C">
      <w:pPr>
        <w:jc w:val="both"/>
        <w:rPr>
          <w:sz w:val="26"/>
          <w:szCs w:val="26"/>
        </w:rPr>
      </w:pPr>
      <w:r w:rsidRPr="00A179B7">
        <w:rPr>
          <w:sz w:val="26"/>
          <w:szCs w:val="26"/>
        </w:rPr>
        <w:t>Justice Boyd filed a dissenting</w:t>
      </w:r>
      <w:r>
        <w:rPr>
          <w:sz w:val="26"/>
          <w:szCs w:val="26"/>
        </w:rPr>
        <w:t xml:space="preserve"> </w:t>
      </w:r>
      <w:r w:rsidRPr="00A179B7">
        <w:rPr>
          <w:sz w:val="26"/>
          <w:szCs w:val="26"/>
        </w:rPr>
        <w:t>opinion, joined by one other justice. He</w:t>
      </w:r>
      <w:r>
        <w:rPr>
          <w:sz w:val="26"/>
          <w:szCs w:val="26"/>
        </w:rPr>
        <w:t xml:space="preserve"> </w:t>
      </w:r>
      <w:r w:rsidRPr="00A179B7">
        <w:rPr>
          <w:sz w:val="26"/>
          <w:szCs w:val="26"/>
        </w:rPr>
        <w:t>would have held that morbid obesity</w:t>
      </w:r>
      <w:r>
        <w:rPr>
          <w:sz w:val="26"/>
          <w:szCs w:val="26"/>
        </w:rPr>
        <w:t xml:space="preserve"> </w:t>
      </w:r>
      <w:r w:rsidRPr="00A179B7">
        <w:rPr>
          <w:sz w:val="26"/>
          <w:szCs w:val="26"/>
        </w:rPr>
        <w:t>qualifies as an impairment without evidence of an underlying physiological</w:t>
      </w:r>
      <w:r>
        <w:rPr>
          <w:sz w:val="26"/>
          <w:szCs w:val="26"/>
        </w:rPr>
        <w:t xml:space="preserve"> </w:t>
      </w:r>
      <w:r w:rsidRPr="00A179B7">
        <w:rPr>
          <w:sz w:val="26"/>
          <w:szCs w:val="26"/>
        </w:rPr>
        <w:t>condition.</w:t>
      </w:r>
    </w:p>
    <w:p w14:paraId="52472FC7" w14:textId="77777777" w:rsidR="0081088C" w:rsidRDefault="0081088C" w:rsidP="0081088C">
      <w:pPr>
        <w:jc w:val="both"/>
        <w:rPr>
          <w:sz w:val="26"/>
          <w:szCs w:val="26"/>
        </w:rPr>
      </w:pPr>
    </w:p>
    <w:p w14:paraId="348580A3" w14:textId="77777777" w:rsidR="0081088C" w:rsidRDefault="0081088C" w:rsidP="0081088C">
      <w:pPr>
        <w:jc w:val="both"/>
        <w:rPr>
          <w:b/>
          <w:bCs/>
          <w:sz w:val="26"/>
          <w:szCs w:val="26"/>
        </w:rPr>
      </w:pPr>
    </w:p>
    <w:p w14:paraId="61FD0AF3" w14:textId="146652DC" w:rsidR="0081088C" w:rsidRPr="00A179B7" w:rsidRDefault="0081088C" w:rsidP="0081088C">
      <w:pPr>
        <w:jc w:val="both"/>
        <w:rPr>
          <w:b/>
          <w:bCs/>
          <w:sz w:val="26"/>
          <w:szCs w:val="26"/>
        </w:rPr>
      </w:pPr>
      <w:r w:rsidRPr="00A179B7">
        <w:rPr>
          <w:b/>
          <w:bCs/>
          <w:sz w:val="26"/>
          <w:szCs w:val="26"/>
        </w:rPr>
        <w:t>FAMILY LAW</w:t>
      </w:r>
    </w:p>
    <w:p w14:paraId="4399FA32" w14:textId="77777777" w:rsidR="0081088C" w:rsidRDefault="0081088C" w:rsidP="0081088C">
      <w:pPr>
        <w:jc w:val="both"/>
        <w:rPr>
          <w:sz w:val="26"/>
          <w:szCs w:val="26"/>
        </w:rPr>
      </w:pPr>
    </w:p>
    <w:p w14:paraId="05203BEA" w14:textId="77777777" w:rsidR="0081088C" w:rsidRDefault="0081088C" w:rsidP="0081088C">
      <w:pPr>
        <w:jc w:val="both"/>
        <w:rPr>
          <w:sz w:val="26"/>
          <w:szCs w:val="26"/>
        </w:rPr>
      </w:pPr>
      <w:r w:rsidRPr="00A179B7">
        <w:rPr>
          <w:i/>
          <w:iCs/>
          <w:sz w:val="26"/>
          <w:szCs w:val="26"/>
        </w:rPr>
        <w:t>In re A.A</w:t>
      </w:r>
      <w:r w:rsidRPr="00A179B7">
        <w:rPr>
          <w:sz w:val="26"/>
          <w:szCs w:val="26"/>
        </w:rPr>
        <w:t>., ___ S.W.3d ___,</w:t>
      </w:r>
      <w:r>
        <w:rPr>
          <w:sz w:val="26"/>
          <w:szCs w:val="26"/>
        </w:rPr>
        <w:t xml:space="preserve"> </w:t>
      </w:r>
      <w:r w:rsidRPr="00A179B7">
        <w:rPr>
          <w:sz w:val="26"/>
          <w:szCs w:val="26"/>
        </w:rPr>
        <w:t>21-0998</w:t>
      </w:r>
      <w:r>
        <w:rPr>
          <w:sz w:val="26"/>
          <w:szCs w:val="26"/>
        </w:rPr>
        <w:t xml:space="preserve">, </w:t>
      </w:r>
      <w:r w:rsidRPr="00A179B7">
        <w:rPr>
          <w:sz w:val="26"/>
          <w:szCs w:val="26"/>
        </w:rPr>
        <w:t>2023 WL 3910142 (Tex. June</w:t>
      </w:r>
      <w:r>
        <w:rPr>
          <w:sz w:val="26"/>
          <w:szCs w:val="26"/>
        </w:rPr>
        <w:t xml:space="preserve"> </w:t>
      </w:r>
      <w:r w:rsidRPr="00A179B7">
        <w:rPr>
          <w:sz w:val="26"/>
          <w:szCs w:val="26"/>
        </w:rPr>
        <w:t xml:space="preserve">9, 2023) </w:t>
      </w:r>
    </w:p>
    <w:p w14:paraId="40A73B20" w14:textId="77777777" w:rsidR="0081088C" w:rsidRPr="00A179B7" w:rsidRDefault="0081088C" w:rsidP="0081088C">
      <w:pPr>
        <w:jc w:val="both"/>
        <w:rPr>
          <w:sz w:val="26"/>
          <w:szCs w:val="26"/>
        </w:rPr>
      </w:pPr>
    </w:p>
    <w:p w14:paraId="6A942086" w14:textId="77777777" w:rsidR="0081088C" w:rsidRDefault="0081088C" w:rsidP="0081088C">
      <w:pPr>
        <w:jc w:val="both"/>
        <w:rPr>
          <w:sz w:val="26"/>
          <w:szCs w:val="26"/>
        </w:rPr>
      </w:pPr>
      <w:r>
        <w:rPr>
          <w:sz w:val="26"/>
          <w:szCs w:val="26"/>
        </w:rPr>
        <w:t>The</w:t>
      </w:r>
      <w:r w:rsidRPr="00A179B7">
        <w:rPr>
          <w:sz w:val="26"/>
          <w:szCs w:val="26"/>
        </w:rPr>
        <w:t xml:space="preserve"> Mother challenge</w:t>
      </w:r>
      <w:r>
        <w:rPr>
          <w:sz w:val="26"/>
          <w:szCs w:val="26"/>
        </w:rPr>
        <w:t xml:space="preserve">d </w:t>
      </w:r>
      <w:r w:rsidRPr="00A179B7">
        <w:rPr>
          <w:sz w:val="26"/>
          <w:szCs w:val="26"/>
        </w:rPr>
        <w:t>the termination of her parental rights</w:t>
      </w:r>
      <w:r>
        <w:rPr>
          <w:sz w:val="26"/>
          <w:szCs w:val="26"/>
        </w:rPr>
        <w:t xml:space="preserve"> </w:t>
      </w:r>
      <w:r w:rsidRPr="00A179B7">
        <w:rPr>
          <w:sz w:val="26"/>
          <w:szCs w:val="26"/>
        </w:rPr>
        <w:t>under Section 161.001(b)(1)(O) of the</w:t>
      </w:r>
      <w:r>
        <w:rPr>
          <w:sz w:val="26"/>
          <w:szCs w:val="26"/>
        </w:rPr>
        <w:t xml:space="preserve"> </w:t>
      </w:r>
      <w:r w:rsidRPr="00A179B7">
        <w:rPr>
          <w:sz w:val="26"/>
          <w:szCs w:val="26"/>
        </w:rPr>
        <w:t>Family Code because the children were</w:t>
      </w:r>
      <w:r>
        <w:rPr>
          <w:sz w:val="26"/>
          <w:szCs w:val="26"/>
        </w:rPr>
        <w:t xml:space="preserve"> </w:t>
      </w:r>
      <w:r w:rsidRPr="00A179B7">
        <w:rPr>
          <w:sz w:val="26"/>
          <w:szCs w:val="26"/>
        </w:rPr>
        <w:t>relocated to foster care from Father’s</w:t>
      </w:r>
      <w:r>
        <w:rPr>
          <w:sz w:val="26"/>
          <w:szCs w:val="26"/>
        </w:rPr>
        <w:t xml:space="preserve"> </w:t>
      </w:r>
      <w:r w:rsidRPr="00A179B7">
        <w:rPr>
          <w:sz w:val="26"/>
          <w:szCs w:val="26"/>
        </w:rPr>
        <w:t>home and for his wrongdoing.</w:t>
      </w:r>
      <w:r>
        <w:rPr>
          <w:sz w:val="26"/>
          <w:szCs w:val="26"/>
        </w:rPr>
        <w:t xml:space="preserve"> </w:t>
      </w:r>
      <w:r w:rsidRPr="00A179B7">
        <w:rPr>
          <w:sz w:val="26"/>
          <w:szCs w:val="26"/>
        </w:rPr>
        <w:t>Mother and Father have a history of drug use and domestic violence.</w:t>
      </w:r>
      <w:r>
        <w:rPr>
          <w:sz w:val="26"/>
          <w:szCs w:val="26"/>
        </w:rPr>
        <w:t xml:space="preserve"> </w:t>
      </w:r>
      <w:r w:rsidRPr="00A179B7">
        <w:rPr>
          <w:sz w:val="26"/>
          <w:szCs w:val="26"/>
        </w:rPr>
        <w:t>When they divorced, Mother stipulated</w:t>
      </w:r>
      <w:r>
        <w:rPr>
          <w:sz w:val="26"/>
          <w:szCs w:val="26"/>
        </w:rPr>
        <w:t xml:space="preserve"> </w:t>
      </w:r>
      <w:r w:rsidRPr="00A179B7">
        <w:rPr>
          <w:sz w:val="26"/>
          <w:szCs w:val="26"/>
        </w:rPr>
        <w:t>to a decree giving Father sole custody</w:t>
      </w:r>
      <w:r>
        <w:rPr>
          <w:sz w:val="26"/>
          <w:szCs w:val="26"/>
        </w:rPr>
        <w:t xml:space="preserve"> </w:t>
      </w:r>
      <w:r w:rsidRPr="00A179B7">
        <w:rPr>
          <w:sz w:val="26"/>
          <w:szCs w:val="26"/>
        </w:rPr>
        <w:t>of the children. DFPS later removed</w:t>
      </w:r>
      <w:r>
        <w:rPr>
          <w:sz w:val="26"/>
          <w:szCs w:val="26"/>
        </w:rPr>
        <w:t xml:space="preserve"> </w:t>
      </w:r>
      <w:r w:rsidRPr="00A179B7">
        <w:rPr>
          <w:sz w:val="26"/>
          <w:szCs w:val="26"/>
        </w:rPr>
        <w:t>the children from Father’s home due to</w:t>
      </w:r>
      <w:r>
        <w:rPr>
          <w:sz w:val="26"/>
          <w:szCs w:val="26"/>
        </w:rPr>
        <w:t xml:space="preserve"> </w:t>
      </w:r>
      <w:r w:rsidRPr="00A179B7">
        <w:rPr>
          <w:sz w:val="26"/>
          <w:szCs w:val="26"/>
        </w:rPr>
        <w:t>Father’s drug use and neglect. The trial</w:t>
      </w:r>
      <w:r>
        <w:rPr>
          <w:sz w:val="26"/>
          <w:szCs w:val="26"/>
        </w:rPr>
        <w:t xml:space="preserve"> </w:t>
      </w:r>
      <w:r w:rsidRPr="00A179B7">
        <w:rPr>
          <w:sz w:val="26"/>
          <w:szCs w:val="26"/>
        </w:rPr>
        <w:t>court signed orders under Chapter 262</w:t>
      </w:r>
      <w:r>
        <w:rPr>
          <w:sz w:val="26"/>
          <w:szCs w:val="26"/>
        </w:rPr>
        <w:t xml:space="preserve"> </w:t>
      </w:r>
      <w:r w:rsidRPr="00A179B7">
        <w:rPr>
          <w:sz w:val="26"/>
          <w:szCs w:val="26"/>
        </w:rPr>
        <w:t>that removed the children from both</w:t>
      </w:r>
      <w:r>
        <w:rPr>
          <w:sz w:val="26"/>
          <w:szCs w:val="26"/>
        </w:rPr>
        <w:t xml:space="preserve"> </w:t>
      </w:r>
      <w:r w:rsidRPr="00A179B7">
        <w:rPr>
          <w:sz w:val="26"/>
          <w:szCs w:val="26"/>
        </w:rPr>
        <w:t>Mother and Father and granted DFPS</w:t>
      </w:r>
      <w:r>
        <w:rPr>
          <w:sz w:val="26"/>
          <w:szCs w:val="26"/>
        </w:rPr>
        <w:t xml:space="preserve"> </w:t>
      </w:r>
      <w:r w:rsidRPr="00A179B7">
        <w:rPr>
          <w:sz w:val="26"/>
          <w:szCs w:val="26"/>
        </w:rPr>
        <w:t>conservatorship. Later, the court terminated Mother’s rights under Subsection (O), and the court of appeals affirmed.</w:t>
      </w:r>
      <w:r>
        <w:rPr>
          <w:sz w:val="26"/>
          <w:szCs w:val="26"/>
        </w:rPr>
        <w:t xml:space="preserve"> </w:t>
      </w:r>
    </w:p>
    <w:p w14:paraId="4FB0B615" w14:textId="77777777" w:rsidR="0081088C" w:rsidRDefault="0081088C" w:rsidP="0081088C">
      <w:pPr>
        <w:jc w:val="both"/>
        <w:rPr>
          <w:sz w:val="26"/>
          <w:szCs w:val="26"/>
        </w:rPr>
      </w:pPr>
    </w:p>
    <w:p w14:paraId="494611B4" w14:textId="77777777" w:rsidR="0081088C" w:rsidRDefault="0081088C" w:rsidP="0081088C">
      <w:pPr>
        <w:jc w:val="both"/>
        <w:rPr>
          <w:sz w:val="26"/>
          <w:szCs w:val="26"/>
        </w:rPr>
      </w:pPr>
      <w:r w:rsidRPr="00A179B7">
        <w:rPr>
          <w:sz w:val="26"/>
          <w:szCs w:val="26"/>
        </w:rPr>
        <w:t>The Supreme Court also affirmed. Subsection (O) applies when a</w:t>
      </w:r>
      <w:r>
        <w:rPr>
          <w:sz w:val="26"/>
          <w:szCs w:val="26"/>
        </w:rPr>
        <w:t xml:space="preserve"> </w:t>
      </w:r>
      <w:r w:rsidRPr="00A179B7">
        <w:rPr>
          <w:sz w:val="26"/>
          <w:szCs w:val="26"/>
        </w:rPr>
        <w:t>parent has failed to comply with a service plan imposed “as a result of the</w:t>
      </w:r>
      <w:r>
        <w:rPr>
          <w:sz w:val="26"/>
          <w:szCs w:val="26"/>
        </w:rPr>
        <w:t xml:space="preserve"> </w:t>
      </w:r>
      <w:r w:rsidRPr="00A179B7">
        <w:rPr>
          <w:sz w:val="26"/>
          <w:szCs w:val="26"/>
        </w:rPr>
        <w:t>child’s removal from the parent under</w:t>
      </w:r>
      <w:r>
        <w:rPr>
          <w:sz w:val="26"/>
          <w:szCs w:val="26"/>
        </w:rPr>
        <w:t xml:space="preserve"> </w:t>
      </w:r>
      <w:r w:rsidRPr="00A179B7">
        <w:rPr>
          <w:sz w:val="26"/>
          <w:szCs w:val="26"/>
        </w:rPr>
        <w:t>Chapter 262 for the abuse or neglect of</w:t>
      </w:r>
      <w:r>
        <w:rPr>
          <w:sz w:val="26"/>
          <w:szCs w:val="26"/>
        </w:rPr>
        <w:t xml:space="preserve"> </w:t>
      </w:r>
      <w:r w:rsidRPr="00A179B7">
        <w:rPr>
          <w:sz w:val="26"/>
          <w:szCs w:val="26"/>
        </w:rPr>
        <w:t>the child.” “Removal from the parent</w:t>
      </w:r>
      <w:r>
        <w:rPr>
          <w:sz w:val="26"/>
          <w:szCs w:val="26"/>
        </w:rPr>
        <w:t xml:space="preserve"> </w:t>
      </w:r>
      <w:r w:rsidRPr="00A179B7">
        <w:rPr>
          <w:sz w:val="26"/>
          <w:szCs w:val="26"/>
        </w:rPr>
        <w:t>under Chapter 262” is not just physical</w:t>
      </w:r>
      <w:r>
        <w:rPr>
          <w:sz w:val="26"/>
          <w:szCs w:val="26"/>
        </w:rPr>
        <w:t xml:space="preserve"> </w:t>
      </w:r>
      <w:r w:rsidRPr="00A179B7">
        <w:rPr>
          <w:sz w:val="26"/>
          <w:szCs w:val="26"/>
        </w:rPr>
        <w:t>relocation but the transfer by court order of the bundle of rights that the law</w:t>
      </w:r>
      <w:r>
        <w:rPr>
          <w:sz w:val="26"/>
          <w:szCs w:val="26"/>
        </w:rPr>
        <w:t xml:space="preserve"> </w:t>
      </w:r>
      <w:r w:rsidRPr="00A179B7">
        <w:rPr>
          <w:sz w:val="26"/>
          <w:szCs w:val="26"/>
        </w:rPr>
        <w:t>gives a parent by default from the parent to DFPS. Caselaw establishes that</w:t>
      </w:r>
      <w:r>
        <w:rPr>
          <w:sz w:val="26"/>
          <w:szCs w:val="26"/>
        </w:rPr>
        <w:t xml:space="preserve"> </w:t>
      </w:r>
      <w:r w:rsidRPr="00A179B7">
        <w:rPr>
          <w:sz w:val="26"/>
          <w:szCs w:val="26"/>
        </w:rPr>
        <w:t>the term “abuse or neglect” in (O) includes the danger to the child’s health</w:t>
      </w:r>
      <w:r>
        <w:rPr>
          <w:sz w:val="26"/>
          <w:szCs w:val="26"/>
        </w:rPr>
        <w:t xml:space="preserve"> </w:t>
      </w:r>
      <w:r w:rsidRPr="00A179B7">
        <w:rPr>
          <w:sz w:val="26"/>
          <w:szCs w:val="26"/>
        </w:rPr>
        <w:t>or safety created by the parent’s conduct.</w:t>
      </w:r>
      <w:r>
        <w:rPr>
          <w:sz w:val="26"/>
          <w:szCs w:val="26"/>
        </w:rPr>
        <w:t xml:space="preserve"> </w:t>
      </w:r>
      <w:r w:rsidRPr="00A179B7">
        <w:rPr>
          <w:sz w:val="26"/>
          <w:szCs w:val="26"/>
        </w:rPr>
        <w:t>Finally, the Court held that the</w:t>
      </w:r>
      <w:r>
        <w:rPr>
          <w:sz w:val="26"/>
          <w:szCs w:val="26"/>
        </w:rPr>
        <w:t xml:space="preserve"> </w:t>
      </w:r>
      <w:r w:rsidRPr="00A179B7">
        <w:rPr>
          <w:sz w:val="26"/>
          <w:szCs w:val="26"/>
        </w:rPr>
        <w:t>record contains sufficient evidence that</w:t>
      </w:r>
      <w:r>
        <w:rPr>
          <w:sz w:val="26"/>
          <w:szCs w:val="26"/>
        </w:rPr>
        <w:t xml:space="preserve"> </w:t>
      </w:r>
      <w:r w:rsidRPr="00A179B7">
        <w:rPr>
          <w:sz w:val="26"/>
          <w:szCs w:val="26"/>
        </w:rPr>
        <w:t>the children were indeed removed from</w:t>
      </w:r>
      <w:r>
        <w:rPr>
          <w:sz w:val="26"/>
          <w:szCs w:val="26"/>
        </w:rPr>
        <w:t xml:space="preserve"> </w:t>
      </w:r>
      <w:r w:rsidRPr="00A179B7">
        <w:rPr>
          <w:sz w:val="26"/>
          <w:szCs w:val="26"/>
        </w:rPr>
        <w:t>Mother under Chapter 262 for her</w:t>
      </w:r>
      <w:r>
        <w:rPr>
          <w:sz w:val="26"/>
          <w:szCs w:val="26"/>
        </w:rPr>
        <w:t xml:space="preserve"> </w:t>
      </w:r>
      <w:r w:rsidRPr="00A179B7">
        <w:rPr>
          <w:sz w:val="26"/>
          <w:szCs w:val="26"/>
        </w:rPr>
        <w:t>abuse or neglect. The trial court’s removal orders were based on evidence</w:t>
      </w:r>
      <w:r>
        <w:rPr>
          <w:sz w:val="26"/>
          <w:szCs w:val="26"/>
        </w:rPr>
        <w:t xml:space="preserve"> </w:t>
      </w:r>
      <w:r w:rsidRPr="00A179B7">
        <w:rPr>
          <w:sz w:val="26"/>
          <w:szCs w:val="26"/>
        </w:rPr>
        <w:t>that Mother voluntarily gave the children to Father despite his history of violence and drug use and that she</w:t>
      </w:r>
      <w:r>
        <w:rPr>
          <w:sz w:val="26"/>
          <w:szCs w:val="26"/>
        </w:rPr>
        <w:t xml:space="preserve"> </w:t>
      </w:r>
      <w:r w:rsidRPr="00A179B7">
        <w:rPr>
          <w:sz w:val="26"/>
          <w:szCs w:val="26"/>
        </w:rPr>
        <w:t>lacked stable housing or employment.</w:t>
      </w:r>
      <w:r>
        <w:rPr>
          <w:sz w:val="26"/>
          <w:szCs w:val="26"/>
        </w:rPr>
        <w:t xml:space="preserve"> </w:t>
      </w:r>
    </w:p>
    <w:p w14:paraId="20220A92" w14:textId="77777777" w:rsidR="0081088C" w:rsidRDefault="0081088C" w:rsidP="0081088C">
      <w:pPr>
        <w:jc w:val="both"/>
        <w:rPr>
          <w:sz w:val="26"/>
          <w:szCs w:val="26"/>
        </w:rPr>
      </w:pPr>
    </w:p>
    <w:p w14:paraId="54FC5742" w14:textId="77777777" w:rsidR="0081088C" w:rsidRDefault="0081088C" w:rsidP="0081088C">
      <w:pPr>
        <w:jc w:val="both"/>
        <w:rPr>
          <w:sz w:val="26"/>
          <w:szCs w:val="26"/>
        </w:rPr>
      </w:pPr>
      <w:r w:rsidRPr="00A179B7">
        <w:rPr>
          <w:sz w:val="26"/>
          <w:szCs w:val="26"/>
        </w:rPr>
        <w:t>Justice Young filed a dissenting</w:t>
      </w:r>
      <w:r>
        <w:rPr>
          <w:sz w:val="26"/>
          <w:szCs w:val="26"/>
        </w:rPr>
        <w:t xml:space="preserve"> </w:t>
      </w:r>
      <w:r w:rsidRPr="00A179B7">
        <w:rPr>
          <w:sz w:val="26"/>
          <w:szCs w:val="26"/>
        </w:rPr>
        <w:t>opinion, joined by Justice Blacklock</w:t>
      </w:r>
      <w:r>
        <w:rPr>
          <w:sz w:val="26"/>
          <w:szCs w:val="26"/>
        </w:rPr>
        <w:t xml:space="preserve"> </w:t>
      </w:r>
      <w:r w:rsidRPr="00A179B7">
        <w:rPr>
          <w:sz w:val="26"/>
          <w:szCs w:val="26"/>
        </w:rPr>
        <w:t>and Justice Busby. They would have</w:t>
      </w:r>
      <w:r>
        <w:rPr>
          <w:sz w:val="26"/>
          <w:szCs w:val="26"/>
        </w:rPr>
        <w:t xml:space="preserve"> </w:t>
      </w:r>
      <w:r w:rsidRPr="00A179B7">
        <w:rPr>
          <w:sz w:val="26"/>
          <w:szCs w:val="26"/>
        </w:rPr>
        <w:t>held that (O) does not apply on these</w:t>
      </w:r>
      <w:r>
        <w:rPr>
          <w:sz w:val="26"/>
          <w:szCs w:val="26"/>
        </w:rPr>
        <w:t xml:space="preserve"> </w:t>
      </w:r>
      <w:r w:rsidRPr="00A179B7">
        <w:rPr>
          <w:sz w:val="26"/>
          <w:szCs w:val="26"/>
        </w:rPr>
        <w:t>facts as a matter of law.</w:t>
      </w:r>
      <w:r>
        <w:rPr>
          <w:sz w:val="26"/>
          <w:szCs w:val="26"/>
        </w:rPr>
        <w:t xml:space="preserve"> </w:t>
      </w:r>
    </w:p>
    <w:p w14:paraId="6FAC5F1B" w14:textId="77777777" w:rsidR="0081088C" w:rsidRDefault="0081088C" w:rsidP="0081088C">
      <w:pPr>
        <w:jc w:val="both"/>
        <w:rPr>
          <w:sz w:val="26"/>
          <w:szCs w:val="26"/>
        </w:rPr>
      </w:pPr>
    </w:p>
    <w:p w14:paraId="42C990BC" w14:textId="77777777" w:rsidR="0081088C" w:rsidRDefault="0081088C" w:rsidP="0081088C">
      <w:pPr>
        <w:jc w:val="both"/>
        <w:rPr>
          <w:sz w:val="26"/>
          <w:szCs w:val="26"/>
        </w:rPr>
      </w:pPr>
      <w:r w:rsidRPr="000E2FAB">
        <w:rPr>
          <w:i/>
          <w:iCs/>
          <w:sz w:val="26"/>
          <w:szCs w:val="26"/>
        </w:rPr>
        <w:t>In re J.N</w:t>
      </w:r>
      <w:r w:rsidRPr="000E2FAB">
        <w:rPr>
          <w:sz w:val="26"/>
          <w:szCs w:val="26"/>
        </w:rPr>
        <w:t>., ___ S.W.3d ___,</w:t>
      </w:r>
      <w:r>
        <w:rPr>
          <w:sz w:val="26"/>
          <w:szCs w:val="26"/>
        </w:rPr>
        <w:t xml:space="preserve"> </w:t>
      </w:r>
      <w:r w:rsidRPr="000E2FAB">
        <w:rPr>
          <w:sz w:val="26"/>
          <w:szCs w:val="26"/>
        </w:rPr>
        <w:t>22-0419</w:t>
      </w:r>
      <w:r>
        <w:rPr>
          <w:sz w:val="26"/>
          <w:szCs w:val="26"/>
        </w:rPr>
        <w:t xml:space="preserve">, </w:t>
      </w:r>
      <w:r w:rsidRPr="000E2FAB">
        <w:rPr>
          <w:sz w:val="26"/>
          <w:szCs w:val="26"/>
        </w:rPr>
        <w:t>2023 WL 3910042 (Tex. June</w:t>
      </w:r>
      <w:r>
        <w:rPr>
          <w:sz w:val="26"/>
          <w:szCs w:val="26"/>
        </w:rPr>
        <w:t xml:space="preserve"> </w:t>
      </w:r>
      <w:r w:rsidRPr="000E2FAB">
        <w:rPr>
          <w:sz w:val="26"/>
          <w:szCs w:val="26"/>
        </w:rPr>
        <w:t>9, 2023) []]</w:t>
      </w:r>
    </w:p>
    <w:p w14:paraId="49C254F0" w14:textId="77777777" w:rsidR="0081088C" w:rsidRPr="000E2FAB" w:rsidRDefault="0081088C" w:rsidP="0081088C">
      <w:pPr>
        <w:jc w:val="both"/>
        <w:rPr>
          <w:sz w:val="26"/>
          <w:szCs w:val="26"/>
        </w:rPr>
      </w:pPr>
    </w:p>
    <w:p w14:paraId="3F415075" w14:textId="77777777" w:rsidR="0081088C" w:rsidRDefault="0081088C" w:rsidP="0081088C">
      <w:pPr>
        <w:jc w:val="both"/>
        <w:rPr>
          <w:sz w:val="26"/>
          <w:szCs w:val="26"/>
        </w:rPr>
      </w:pPr>
      <w:r w:rsidRPr="000E2FAB">
        <w:rPr>
          <w:sz w:val="26"/>
          <w:szCs w:val="26"/>
        </w:rPr>
        <w:lastRenderedPageBreak/>
        <w:t>This case concerns a trial court’s</w:t>
      </w:r>
      <w:r>
        <w:rPr>
          <w:sz w:val="26"/>
          <w:szCs w:val="26"/>
        </w:rPr>
        <w:t xml:space="preserve"> </w:t>
      </w:r>
      <w:r w:rsidRPr="000E2FAB">
        <w:rPr>
          <w:sz w:val="26"/>
          <w:szCs w:val="26"/>
        </w:rPr>
        <w:t>failure to interview a child under</w:t>
      </w:r>
      <w:r>
        <w:rPr>
          <w:sz w:val="26"/>
          <w:szCs w:val="26"/>
        </w:rPr>
        <w:t xml:space="preserve"> </w:t>
      </w:r>
      <w:r w:rsidRPr="000E2FAB">
        <w:rPr>
          <w:sz w:val="26"/>
          <w:szCs w:val="26"/>
        </w:rPr>
        <w:t>Section 153.009(a) of the Family Code.</w:t>
      </w:r>
      <w:r>
        <w:rPr>
          <w:sz w:val="26"/>
          <w:szCs w:val="26"/>
        </w:rPr>
        <w:t xml:space="preserve"> </w:t>
      </w:r>
      <w:r w:rsidRPr="000E2FAB">
        <w:rPr>
          <w:sz w:val="26"/>
          <w:szCs w:val="26"/>
        </w:rPr>
        <w:t>Under this section, upon application by</w:t>
      </w:r>
      <w:r>
        <w:rPr>
          <w:sz w:val="26"/>
          <w:szCs w:val="26"/>
        </w:rPr>
        <w:t xml:space="preserve"> </w:t>
      </w:r>
      <w:r w:rsidRPr="000E2FAB">
        <w:rPr>
          <w:sz w:val="26"/>
          <w:szCs w:val="26"/>
        </w:rPr>
        <w:t>certain parties, a trial court “shall” interview a child twelve and older to determine the child’s wishes as to who</w:t>
      </w:r>
      <w:r>
        <w:rPr>
          <w:sz w:val="26"/>
          <w:szCs w:val="26"/>
        </w:rPr>
        <w:t xml:space="preserve"> </w:t>
      </w:r>
      <w:r w:rsidRPr="000E2FAB">
        <w:rPr>
          <w:sz w:val="26"/>
          <w:szCs w:val="26"/>
        </w:rPr>
        <w:t>will have the exclusive right to determine their primary residence. This</w:t>
      </w:r>
      <w:r>
        <w:rPr>
          <w:sz w:val="26"/>
          <w:szCs w:val="26"/>
        </w:rPr>
        <w:t xml:space="preserve"> </w:t>
      </w:r>
      <w:r w:rsidRPr="000E2FAB">
        <w:rPr>
          <w:sz w:val="26"/>
          <w:szCs w:val="26"/>
        </w:rPr>
        <w:t>statute applies only to nonjury trials or</w:t>
      </w:r>
      <w:r>
        <w:rPr>
          <w:sz w:val="26"/>
          <w:szCs w:val="26"/>
        </w:rPr>
        <w:t xml:space="preserve"> </w:t>
      </w:r>
      <w:r w:rsidRPr="000E2FAB">
        <w:rPr>
          <w:sz w:val="26"/>
          <w:szCs w:val="26"/>
        </w:rPr>
        <w:t>hearings. Therefore, a litigant must</w:t>
      </w:r>
      <w:r>
        <w:rPr>
          <w:sz w:val="26"/>
          <w:szCs w:val="26"/>
        </w:rPr>
        <w:t xml:space="preserve"> </w:t>
      </w:r>
      <w:r w:rsidRPr="000E2FAB">
        <w:rPr>
          <w:sz w:val="26"/>
          <w:szCs w:val="26"/>
        </w:rPr>
        <w:t>forgo her right to a jury trial to benefit</w:t>
      </w:r>
      <w:r>
        <w:rPr>
          <w:sz w:val="26"/>
          <w:szCs w:val="26"/>
        </w:rPr>
        <w:t xml:space="preserve"> </w:t>
      </w:r>
      <w:r w:rsidRPr="000E2FAB">
        <w:rPr>
          <w:sz w:val="26"/>
          <w:szCs w:val="26"/>
        </w:rPr>
        <w:t>from Section 153.009(a)’s interview</w:t>
      </w:r>
      <w:r>
        <w:rPr>
          <w:sz w:val="26"/>
          <w:szCs w:val="26"/>
        </w:rPr>
        <w:t xml:space="preserve"> </w:t>
      </w:r>
      <w:r w:rsidRPr="000E2FAB">
        <w:rPr>
          <w:sz w:val="26"/>
          <w:szCs w:val="26"/>
        </w:rPr>
        <w:t>provision.</w:t>
      </w:r>
      <w:r>
        <w:rPr>
          <w:sz w:val="26"/>
          <w:szCs w:val="26"/>
        </w:rPr>
        <w:t xml:space="preserve"> </w:t>
      </w:r>
      <w:r w:rsidRPr="000E2FAB">
        <w:rPr>
          <w:sz w:val="26"/>
          <w:szCs w:val="26"/>
        </w:rPr>
        <w:t>In this divorce proceeding,</w:t>
      </w:r>
      <w:r>
        <w:rPr>
          <w:sz w:val="26"/>
          <w:szCs w:val="26"/>
        </w:rPr>
        <w:t xml:space="preserve"> </w:t>
      </w:r>
      <w:r w:rsidRPr="000E2FAB">
        <w:rPr>
          <w:sz w:val="26"/>
          <w:szCs w:val="26"/>
        </w:rPr>
        <w:t>Mother withdrew her jury demand and</w:t>
      </w:r>
      <w:r>
        <w:rPr>
          <w:sz w:val="26"/>
          <w:szCs w:val="26"/>
        </w:rPr>
        <w:t xml:space="preserve"> </w:t>
      </w:r>
      <w:r w:rsidRPr="000E2FAB">
        <w:rPr>
          <w:sz w:val="26"/>
          <w:szCs w:val="26"/>
        </w:rPr>
        <w:t>properly invoked the trial court’s statutory obligation to interview her thirteen-year-old daughter regarding</w:t>
      </w:r>
      <w:r>
        <w:rPr>
          <w:sz w:val="26"/>
          <w:szCs w:val="26"/>
        </w:rPr>
        <w:t xml:space="preserve"> </w:t>
      </w:r>
      <w:r w:rsidRPr="000E2FAB">
        <w:rPr>
          <w:sz w:val="26"/>
          <w:szCs w:val="26"/>
        </w:rPr>
        <w:t>which parent she would prefer to have</w:t>
      </w:r>
      <w:r>
        <w:rPr>
          <w:sz w:val="26"/>
          <w:szCs w:val="26"/>
        </w:rPr>
        <w:t xml:space="preserve"> </w:t>
      </w:r>
      <w:r w:rsidRPr="000E2FAB">
        <w:rPr>
          <w:sz w:val="26"/>
          <w:szCs w:val="26"/>
        </w:rPr>
        <w:t>determine her primary residence. The</w:t>
      </w:r>
      <w:r>
        <w:rPr>
          <w:sz w:val="26"/>
          <w:szCs w:val="26"/>
        </w:rPr>
        <w:t xml:space="preserve"> </w:t>
      </w:r>
      <w:r w:rsidRPr="000E2FAB">
        <w:rPr>
          <w:sz w:val="26"/>
          <w:szCs w:val="26"/>
        </w:rPr>
        <w:t>trial court did not conduct the interview and ultimately granted the father</w:t>
      </w:r>
      <w:r>
        <w:rPr>
          <w:sz w:val="26"/>
          <w:szCs w:val="26"/>
        </w:rPr>
        <w:t xml:space="preserve"> </w:t>
      </w:r>
      <w:r w:rsidRPr="000E2FAB">
        <w:rPr>
          <w:sz w:val="26"/>
          <w:szCs w:val="26"/>
        </w:rPr>
        <w:t>the exclusive right to determine the</w:t>
      </w:r>
      <w:r>
        <w:rPr>
          <w:sz w:val="26"/>
          <w:szCs w:val="26"/>
        </w:rPr>
        <w:t xml:space="preserve"> </w:t>
      </w:r>
      <w:r w:rsidRPr="000E2FAB">
        <w:rPr>
          <w:sz w:val="26"/>
          <w:szCs w:val="26"/>
        </w:rPr>
        <w:t>primary residence of the couple’s four</w:t>
      </w:r>
      <w:r>
        <w:rPr>
          <w:sz w:val="26"/>
          <w:szCs w:val="26"/>
        </w:rPr>
        <w:t xml:space="preserve"> </w:t>
      </w:r>
      <w:r w:rsidRPr="000E2FAB">
        <w:rPr>
          <w:sz w:val="26"/>
          <w:szCs w:val="26"/>
        </w:rPr>
        <w:t>children.</w:t>
      </w:r>
    </w:p>
    <w:p w14:paraId="47B8671B" w14:textId="77777777" w:rsidR="0081088C" w:rsidRPr="000E2FAB" w:rsidRDefault="0081088C" w:rsidP="0081088C">
      <w:pPr>
        <w:jc w:val="both"/>
        <w:rPr>
          <w:sz w:val="26"/>
          <w:szCs w:val="26"/>
        </w:rPr>
      </w:pPr>
    </w:p>
    <w:p w14:paraId="08583F0B" w14:textId="77777777" w:rsidR="0081088C" w:rsidRDefault="0081088C" w:rsidP="0081088C">
      <w:pPr>
        <w:jc w:val="both"/>
        <w:rPr>
          <w:sz w:val="26"/>
          <w:szCs w:val="26"/>
        </w:rPr>
      </w:pPr>
      <w:r w:rsidRPr="000E2FAB">
        <w:rPr>
          <w:sz w:val="26"/>
          <w:szCs w:val="26"/>
        </w:rPr>
        <w:t>The court of appeals affirmed in</w:t>
      </w:r>
      <w:r>
        <w:rPr>
          <w:sz w:val="26"/>
          <w:szCs w:val="26"/>
        </w:rPr>
        <w:t xml:space="preserve"> </w:t>
      </w:r>
      <w:r w:rsidRPr="000E2FAB">
        <w:rPr>
          <w:sz w:val="26"/>
          <w:szCs w:val="26"/>
        </w:rPr>
        <w:t>a split decision. The panel agreed that</w:t>
      </w:r>
      <w:r>
        <w:rPr>
          <w:sz w:val="26"/>
          <w:szCs w:val="26"/>
        </w:rPr>
        <w:t xml:space="preserve"> </w:t>
      </w:r>
      <w:r w:rsidRPr="000E2FAB">
        <w:rPr>
          <w:sz w:val="26"/>
          <w:szCs w:val="26"/>
        </w:rPr>
        <w:t>the trial court erred in failing to conduct an in-chambers interview but disagreed about whether the error is subject to a harm analysis.</w:t>
      </w:r>
      <w:r>
        <w:rPr>
          <w:sz w:val="26"/>
          <w:szCs w:val="26"/>
        </w:rPr>
        <w:t xml:space="preserve"> </w:t>
      </w:r>
      <w:r w:rsidRPr="000E2FAB">
        <w:rPr>
          <w:sz w:val="26"/>
          <w:szCs w:val="26"/>
        </w:rPr>
        <w:t>The Supreme Court held that</w:t>
      </w:r>
      <w:r>
        <w:rPr>
          <w:sz w:val="26"/>
          <w:szCs w:val="26"/>
        </w:rPr>
        <w:t xml:space="preserve"> </w:t>
      </w:r>
      <w:r w:rsidRPr="000E2FAB">
        <w:rPr>
          <w:sz w:val="26"/>
          <w:szCs w:val="26"/>
        </w:rPr>
        <w:t>the trial court erred in failing to conduct the interview because Section</w:t>
      </w:r>
      <w:r>
        <w:rPr>
          <w:sz w:val="26"/>
          <w:szCs w:val="26"/>
        </w:rPr>
        <w:t xml:space="preserve"> </w:t>
      </w:r>
      <w:r w:rsidRPr="000E2FAB">
        <w:rPr>
          <w:sz w:val="26"/>
          <w:szCs w:val="26"/>
        </w:rPr>
        <w:t>153.009(a)’s interview requirement is</w:t>
      </w:r>
      <w:r>
        <w:rPr>
          <w:sz w:val="26"/>
          <w:szCs w:val="26"/>
        </w:rPr>
        <w:t xml:space="preserve"> </w:t>
      </w:r>
      <w:r w:rsidRPr="000E2FAB">
        <w:rPr>
          <w:sz w:val="26"/>
          <w:szCs w:val="26"/>
        </w:rPr>
        <w:t>mandatory, and such an error is subject</w:t>
      </w:r>
      <w:r>
        <w:rPr>
          <w:sz w:val="26"/>
          <w:szCs w:val="26"/>
        </w:rPr>
        <w:t xml:space="preserve"> </w:t>
      </w:r>
      <w:r w:rsidRPr="000E2FAB">
        <w:rPr>
          <w:sz w:val="26"/>
          <w:szCs w:val="26"/>
        </w:rPr>
        <w:t>to a harm analysis. Here, the trial</w:t>
      </w:r>
      <w:r>
        <w:rPr>
          <w:sz w:val="26"/>
          <w:szCs w:val="26"/>
        </w:rPr>
        <w:t xml:space="preserve"> </w:t>
      </w:r>
      <w:r w:rsidRPr="000E2FAB">
        <w:rPr>
          <w:sz w:val="26"/>
          <w:szCs w:val="26"/>
        </w:rPr>
        <w:t>court’s error was harmful. Consequently, the Court reversed the judgment in part and remanded for an interview under Section 153.009(a) and a</w:t>
      </w:r>
      <w:r>
        <w:rPr>
          <w:sz w:val="26"/>
          <w:szCs w:val="26"/>
        </w:rPr>
        <w:t xml:space="preserve"> </w:t>
      </w:r>
      <w:r w:rsidRPr="000E2FAB">
        <w:rPr>
          <w:sz w:val="26"/>
          <w:szCs w:val="26"/>
        </w:rPr>
        <w:t>new judgment regarding the child’s primary residence.</w:t>
      </w:r>
    </w:p>
    <w:p w14:paraId="3C77405E" w14:textId="77777777" w:rsidR="0081088C" w:rsidRPr="000E2FAB" w:rsidRDefault="0081088C" w:rsidP="0081088C">
      <w:pPr>
        <w:jc w:val="both"/>
        <w:rPr>
          <w:sz w:val="26"/>
          <w:szCs w:val="26"/>
        </w:rPr>
      </w:pPr>
    </w:p>
    <w:p w14:paraId="45ED38E7" w14:textId="77777777" w:rsidR="0081088C" w:rsidRDefault="0081088C" w:rsidP="0081088C">
      <w:pPr>
        <w:jc w:val="both"/>
        <w:rPr>
          <w:sz w:val="26"/>
          <w:szCs w:val="26"/>
        </w:rPr>
      </w:pPr>
      <w:r w:rsidRPr="000E2FAB">
        <w:rPr>
          <w:i/>
          <w:iCs/>
          <w:sz w:val="26"/>
          <w:szCs w:val="26"/>
        </w:rPr>
        <w:t>In re J.S</w:t>
      </w:r>
      <w:r w:rsidRPr="000E2FAB">
        <w:rPr>
          <w:sz w:val="26"/>
          <w:szCs w:val="26"/>
        </w:rPr>
        <w:t>., ___ S.W.3d ___,</w:t>
      </w:r>
      <w:r>
        <w:rPr>
          <w:sz w:val="26"/>
          <w:szCs w:val="26"/>
        </w:rPr>
        <w:t xml:space="preserve"> </w:t>
      </w:r>
      <w:r w:rsidRPr="000E2FAB">
        <w:rPr>
          <w:sz w:val="26"/>
          <w:szCs w:val="26"/>
        </w:rPr>
        <w:t>22-0420</w:t>
      </w:r>
      <w:r>
        <w:rPr>
          <w:sz w:val="26"/>
          <w:szCs w:val="26"/>
        </w:rPr>
        <w:t xml:space="preserve">, </w:t>
      </w:r>
      <w:r w:rsidRPr="000E2FAB">
        <w:rPr>
          <w:sz w:val="26"/>
          <w:szCs w:val="26"/>
        </w:rPr>
        <w:t>2023 WL 4036262 (Tex. June</w:t>
      </w:r>
      <w:r>
        <w:rPr>
          <w:sz w:val="26"/>
          <w:szCs w:val="26"/>
        </w:rPr>
        <w:t xml:space="preserve"> </w:t>
      </w:r>
      <w:r w:rsidRPr="000E2FAB">
        <w:rPr>
          <w:sz w:val="26"/>
          <w:szCs w:val="26"/>
        </w:rPr>
        <w:t xml:space="preserve">16, 2023) </w:t>
      </w:r>
    </w:p>
    <w:p w14:paraId="38ACDF31" w14:textId="77777777" w:rsidR="0081088C" w:rsidRPr="000E2FAB" w:rsidRDefault="0081088C" w:rsidP="0081088C">
      <w:pPr>
        <w:jc w:val="both"/>
        <w:rPr>
          <w:sz w:val="26"/>
          <w:szCs w:val="26"/>
        </w:rPr>
      </w:pPr>
    </w:p>
    <w:p w14:paraId="5AFB3C82" w14:textId="77777777" w:rsidR="0081088C" w:rsidRDefault="0081088C" w:rsidP="0081088C">
      <w:pPr>
        <w:jc w:val="both"/>
        <w:rPr>
          <w:sz w:val="26"/>
          <w:szCs w:val="26"/>
        </w:rPr>
      </w:pPr>
      <w:r w:rsidRPr="000E2FAB">
        <w:rPr>
          <w:sz w:val="26"/>
          <w:szCs w:val="26"/>
        </w:rPr>
        <w:t>This concerns the findings a</w:t>
      </w:r>
      <w:r>
        <w:rPr>
          <w:sz w:val="26"/>
          <w:szCs w:val="26"/>
        </w:rPr>
        <w:t xml:space="preserve"> </w:t>
      </w:r>
      <w:r w:rsidRPr="000E2FAB">
        <w:rPr>
          <w:sz w:val="26"/>
          <w:szCs w:val="26"/>
        </w:rPr>
        <w:t>trial court is required to make under</w:t>
      </w:r>
      <w:r>
        <w:rPr>
          <w:sz w:val="26"/>
          <w:szCs w:val="26"/>
        </w:rPr>
        <w:t xml:space="preserve"> </w:t>
      </w:r>
      <w:r w:rsidRPr="000E2FAB">
        <w:rPr>
          <w:sz w:val="26"/>
          <w:szCs w:val="26"/>
        </w:rPr>
        <w:t>Section 263.401(b) of the Family Code</w:t>
      </w:r>
      <w:r>
        <w:rPr>
          <w:sz w:val="26"/>
          <w:szCs w:val="26"/>
        </w:rPr>
        <w:t xml:space="preserve"> </w:t>
      </w:r>
      <w:r w:rsidRPr="000E2FAB">
        <w:rPr>
          <w:sz w:val="26"/>
          <w:szCs w:val="26"/>
        </w:rPr>
        <w:t>to extend the automatic dismissal</w:t>
      </w:r>
      <w:r>
        <w:rPr>
          <w:sz w:val="26"/>
          <w:szCs w:val="26"/>
        </w:rPr>
        <w:t xml:space="preserve"> </w:t>
      </w:r>
      <w:r w:rsidRPr="000E2FAB">
        <w:rPr>
          <w:sz w:val="26"/>
          <w:szCs w:val="26"/>
        </w:rPr>
        <w:t>deadline for a parental-rights-termination suit.</w:t>
      </w:r>
      <w:r>
        <w:rPr>
          <w:sz w:val="26"/>
          <w:szCs w:val="26"/>
        </w:rPr>
        <w:t xml:space="preserve"> </w:t>
      </w:r>
      <w:r w:rsidRPr="000E2FAB">
        <w:rPr>
          <w:sz w:val="26"/>
          <w:szCs w:val="26"/>
        </w:rPr>
        <w:t>The suit to terminate the rights</w:t>
      </w:r>
      <w:r>
        <w:rPr>
          <w:sz w:val="26"/>
          <w:szCs w:val="26"/>
        </w:rPr>
        <w:t xml:space="preserve"> </w:t>
      </w:r>
      <w:r w:rsidRPr="000E2FAB">
        <w:rPr>
          <w:sz w:val="26"/>
          <w:szCs w:val="26"/>
        </w:rPr>
        <w:t>of J.S.’s parents was initially set for</w:t>
      </w:r>
      <w:r>
        <w:rPr>
          <w:sz w:val="26"/>
          <w:szCs w:val="26"/>
        </w:rPr>
        <w:t xml:space="preserve"> </w:t>
      </w:r>
      <w:r w:rsidRPr="000E2FAB">
        <w:rPr>
          <w:sz w:val="26"/>
          <w:szCs w:val="26"/>
        </w:rPr>
        <w:t>trial by remote appearance on the same</w:t>
      </w:r>
      <w:r>
        <w:rPr>
          <w:sz w:val="26"/>
          <w:szCs w:val="26"/>
        </w:rPr>
        <w:t xml:space="preserve"> </w:t>
      </w:r>
      <w:r w:rsidRPr="000E2FAB">
        <w:rPr>
          <w:sz w:val="26"/>
          <w:szCs w:val="26"/>
        </w:rPr>
        <w:t>day as the deadline for either commencing trial or dismissing the suit under Section 263.401(a). But J.S.’s attorney ad litem failed to appear, and both</w:t>
      </w:r>
      <w:r>
        <w:rPr>
          <w:sz w:val="26"/>
          <w:szCs w:val="26"/>
        </w:rPr>
        <w:t xml:space="preserve"> </w:t>
      </w:r>
      <w:r w:rsidRPr="000E2FAB">
        <w:rPr>
          <w:sz w:val="26"/>
          <w:szCs w:val="26"/>
        </w:rPr>
        <w:t>parents made last-minute requests for</w:t>
      </w:r>
      <w:r>
        <w:rPr>
          <w:sz w:val="26"/>
          <w:szCs w:val="26"/>
        </w:rPr>
        <w:t xml:space="preserve"> </w:t>
      </w:r>
      <w:r w:rsidRPr="000E2FAB">
        <w:rPr>
          <w:sz w:val="26"/>
          <w:szCs w:val="26"/>
        </w:rPr>
        <w:t>a jury trial. The trial court granted</w:t>
      </w:r>
      <w:r>
        <w:rPr>
          <w:sz w:val="26"/>
          <w:szCs w:val="26"/>
        </w:rPr>
        <w:t xml:space="preserve"> </w:t>
      </w:r>
      <w:r w:rsidRPr="000E2FAB">
        <w:rPr>
          <w:sz w:val="26"/>
          <w:szCs w:val="26"/>
        </w:rPr>
        <w:t>DFPS’s motion to extend the dismissal</w:t>
      </w:r>
      <w:r>
        <w:rPr>
          <w:sz w:val="26"/>
          <w:szCs w:val="26"/>
        </w:rPr>
        <w:t xml:space="preserve"> </w:t>
      </w:r>
      <w:r w:rsidRPr="000E2FAB">
        <w:rPr>
          <w:sz w:val="26"/>
          <w:szCs w:val="26"/>
        </w:rPr>
        <w:t>deadline and rescheduled the trial to a</w:t>
      </w:r>
      <w:r>
        <w:rPr>
          <w:sz w:val="26"/>
          <w:szCs w:val="26"/>
        </w:rPr>
        <w:t xml:space="preserve"> </w:t>
      </w:r>
      <w:r w:rsidRPr="000E2FAB">
        <w:rPr>
          <w:sz w:val="26"/>
          <w:szCs w:val="26"/>
        </w:rPr>
        <w:t>later date. At DFPS’s prompting, the</w:t>
      </w:r>
      <w:r>
        <w:rPr>
          <w:sz w:val="26"/>
          <w:szCs w:val="26"/>
        </w:rPr>
        <w:t xml:space="preserve"> </w:t>
      </w:r>
      <w:r w:rsidRPr="000E2FAB">
        <w:rPr>
          <w:sz w:val="26"/>
          <w:szCs w:val="26"/>
        </w:rPr>
        <w:t>court made an oral finding that the extension was in the best interest of the</w:t>
      </w:r>
      <w:r>
        <w:rPr>
          <w:sz w:val="26"/>
          <w:szCs w:val="26"/>
        </w:rPr>
        <w:t xml:space="preserve"> </w:t>
      </w:r>
      <w:r w:rsidRPr="000E2FAB">
        <w:rPr>
          <w:sz w:val="26"/>
          <w:szCs w:val="26"/>
        </w:rPr>
        <w:t>child. The court did not mention the</w:t>
      </w:r>
      <w:r>
        <w:rPr>
          <w:sz w:val="26"/>
          <w:szCs w:val="26"/>
        </w:rPr>
        <w:t xml:space="preserve"> </w:t>
      </w:r>
      <w:r w:rsidRPr="000E2FAB">
        <w:rPr>
          <w:sz w:val="26"/>
          <w:szCs w:val="26"/>
        </w:rPr>
        <w:t>second finding required by Section</w:t>
      </w:r>
      <w:r>
        <w:rPr>
          <w:sz w:val="26"/>
          <w:szCs w:val="26"/>
        </w:rPr>
        <w:t xml:space="preserve"> </w:t>
      </w:r>
      <w:r w:rsidRPr="000E2FAB">
        <w:rPr>
          <w:sz w:val="26"/>
          <w:szCs w:val="26"/>
        </w:rPr>
        <w:t>263.401(b), that extraordinary circumstances necessitate the child’s remaining in DFPS’s conservatorship. Neither</w:t>
      </w:r>
      <w:r>
        <w:rPr>
          <w:sz w:val="26"/>
          <w:szCs w:val="26"/>
        </w:rPr>
        <w:t xml:space="preserve"> </w:t>
      </w:r>
      <w:r w:rsidRPr="000E2FAB">
        <w:rPr>
          <w:sz w:val="26"/>
          <w:szCs w:val="26"/>
        </w:rPr>
        <w:t>parent’s counsel objected to the extension. The court later signed a written</w:t>
      </w:r>
      <w:r>
        <w:rPr>
          <w:sz w:val="26"/>
          <w:szCs w:val="26"/>
        </w:rPr>
        <w:t xml:space="preserve"> </w:t>
      </w:r>
      <w:r w:rsidRPr="000E2FAB">
        <w:rPr>
          <w:sz w:val="26"/>
          <w:szCs w:val="26"/>
        </w:rPr>
        <w:t>extension order that included both</w:t>
      </w:r>
      <w:r>
        <w:rPr>
          <w:sz w:val="26"/>
          <w:szCs w:val="26"/>
        </w:rPr>
        <w:t xml:space="preserve"> </w:t>
      </w:r>
      <w:r w:rsidRPr="000E2FAB">
        <w:rPr>
          <w:sz w:val="26"/>
          <w:szCs w:val="26"/>
        </w:rPr>
        <w:t>findings.</w:t>
      </w:r>
      <w:r>
        <w:rPr>
          <w:sz w:val="26"/>
          <w:szCs w:val="26"/>
        </w:rPr>
        <w:t xml:space="preserve"> </w:t>
      </w:r>
      <w:r w:rsidRPr="000E2FAB">
        <w:rPr>
          <w:sz w:val="26"/>
          <w:szCs w:val="26"/>
        </w:rPr>
        <w:t>The parents’ rights were eventually terminated after a jury trial, and</w:t>
      </w:r>
      <w:r>
        <w:rPr>
          <w:sz w:val="26"/>
          <w:szCs w:val="26"/>
        </w:rPr>
        <w:t xml:space="preserve"> </w:t>
      </w:r>
      <w:r w:rsidRPr="000E2FAB">
        <w:rPr>
          <w:sz w:val="26"/>
          <w:szCs w:val="26"/>
        </w:rPr>
        <w:t xml:space="preserve">Mother appealed. </w:t>
      </w:r>
    </w:p>
    <w:p w14:paraId="734D1BAB" w14:textId="77777777" w:rsidR="0081088C" w:rsidRDefault="0081088C" w:rsidP="0081088C">
      <w:pPr>
        <w:jc w:val="both"/>
        <w:rPr>
          <w:sz w:val="26"/>
          <w:szCs w:val="26"/>
        </w:rPr>
      </w:pPr>
    </w:p>
    <w:p w14:paraId="702B6428" w14:textId="77777777" w:rsidR="0081088C" w:rsidRDefault="0081088C" w:rsidP="0081088C">
      <w:pPr>
        <w:jc w:val="both"/>
        <w:rPr>
          <w:sz w:val="26"/>
          <w:szCs w:val="26"/>
        </w:rPr>
      </w:pPr>
      <w:r w:rsidRPr="000E2FAB">
        <w:rPr>
          <w:sz w:val="26"/>
          <w:szCs w:val="26"/>
        </w:rPr>
        <w:t>The court of appeals</w:t>
      </w:r>
      <w:r>
        <w:rPr>
          <w:sz w:val="26"/>
          <w:szCs w:val="26"/>
        </w:rPr>
        <w:t xml:space="preserve"> </w:t>
      </w:r>
      <w:r w:rsidRPr="000E2FAB">
        <w:rPr>
          <w:sz w:val="26"/>
          <w:szCs w:val="26"/>
        </w:rPr>
        <w:t>reversed, holding that the trial court’s</w:t>
      </w:r>
      <w:r>
        <w:rPr>
          <w:sz w:val="26"/>
          <w:szCs w:val="26"/>
        </w:rPr>
        <w:t xml:space="preserve"> </w:t>
      </w:r>
      <w:r w:rsidRPr="000E2FAB">
        <w:rPr>
          <w:sz w:val="26"/>
          <w:szCs w:val="26"/>
        </w:rPr>
        <w:t>failure to make the extraordinary-circumstances finding when it granted</w:t>
      </w:r>
      <w:r>
        <w:rPr>
          <w:sz w:val="26"/>
          <w:szCs w:val="26"/>
        </w:rPr>
        <w:t xml:space="preserve"> </w:t>
      </w:r>
      <w:r w:rsidRPr="000E2FAB">
        <w:rPr>
          <w:sz w:val="26"/>
          <w:szCs w:val="26"/>
        </w:rPr>
        <w:t>the extension deprived the court of subject-matter jurisdiction. The court of</w:t>
      </w:r>
      <w:r>
        <w:rPr>
          <w:sz w:val="26"/>
          <w:szCs w:val="26"/>
        </w:rPr>
        <w:t xml:space="preserve"> </w:t>
      </w:r>
      <w:r w:rsidRPr="000E2FAB">
        <w:rPr>
          <w:sz w:val="26"/>
          <w:szCs w:val="26"/>
        </w:rPr>
        <w:t>appeals then vacated the trial court’s</w:t>
      </w:r>
      <w:r>
        <w:rPr>
          <w:sz w:val="26"/>
          <w:szCs w:val="26"/>
        </w:rPr>
        <w:t xml:space="preserve"> </w:t>
      </w:r>
      <w:r w:rsidRPr="000E2FAB">
        <w:rPr>
          <w:sz w:val="26"/>
          <w:szCs w:val="26"/>
        </w:rPr>
        <w:t>judgment and dismissed the case.</w:t>
      </w:r>
      <w:r>
        <w:rPr>
          <w:sz w:val="26"/>
          <w:szCs w:val="26"/>
        </w:rPr>
        <w:t xml:space="preserve"> </w:t>
      </w:r>
      <w:r w:rsidRPr="000E2FAB">
        <w:rPr>
          <w:sz w:val="26"/>
          <w:szCs w:val="26"/>
        </w:rPr>
        <w:t>The Supreme Court reversed.</w:t>
      </w:r>
      <w:r>
        <w:rPr>
          <w:sz w:val="26"/>
          <w:szCs w:val="26"/>
        </w:rPr>
        <w:t xml:space="preserve"> </w:t>
      </w:r>
      <w:r w:rsidRPr="000E2FAB">
        <w:rPr>
          <w:sz w:val="26"/>
          <w:szCs w:val="26"/>
        </w:rPr>
        <w:t>The Court held while Section</w:t>
      </w:r>
      <w:r>
        <w:rPr>
          <w:sz w:val="26"/>
          <w:szCs w:val="26"/>
        </w:rPr>
        <w:t xml:space="preserve"> </w:t>
      </w:r>
      <w:r w:rsidRPr="000E2FAB">
        <w:rPr>
          <w:sz w:val="26"/>
          <w:szCs w:val="26"/>
        </w:rPr>
        <w:t>263.401(b) requires the best-interest</w:t>
      </w:r>
      <w:r>
        <w:rPr>
          <w:sz w:val="26"/>
          <w:szCs w:val="26"/>
        </w:rPr>
        <w:t xml:space="preserve"> </w:t>
      </w:r>
      <w:r w:rsidRPr="000E2FAB">
        <w:rPr>
          <w:sz w:val="26"/>
          <w:szCs w:val="26"/>
        </w:rPr>
        <w:t>and extraordinary-circumstances findings to be made expressly, these findings are mandatory rather than jurisdictional. As a result, a parent whose</w:t>
      </w:r>
      <w:r>
        <w:rPr>
          <w:sz w:val="26"/>
          <w:szCs w:val="26"/>
        </w:rPr>
        <w:t xml:space="preserve"> </w:t>
      </w:r>
      <w:r w:rsidRPr="000E2FAB">
        <w:rPr>
          <w:sz w:val="26"/>
          <w:szCs w:val="26"/>
        </w:rPr>
        <w:t>rights have been terminated generally</w:t>
      </w:r>
      <w:r>
        <w:rPr>
          <w:sz w:val="26"/>
          <w:szCs w:val="26"/>
        </w:rPr>
        <w:t xml:space="preserve"> </w:t>
      </w:r>
      <w:r w:rsidRPr="000E2FAB">
        <w:rPr>
          <w:sz w:val="26"/>
          <w:szCs w:val="26"/>
        </w:rPr>
        <w:t>must object before the initial automatic</w:t>
      </w:r>
      <w:r>
        <w:rPr>
          <w:sz w:val="26"/>
          <w:szCs w:val="26"/>
        </w:rPr>
        <w:t xml:space="preserve"> </w:t>
      </w:r>
      <w:r w:rsidRPr="000E2FAB">
        <w:rPr>
          <w:sz w:val="26"/>
          <w:szCs w:val="26"/>
        </w:rPr>
        <w:t>dismissal deadline passes in order to</w:t>
      </w:r>
      <w:r>
        <w:rPr>
          <w:sz w:val="26"/>
          <w:szCs w:val="26"/>
        </w:rPr>
        <w:t xml:space="preserve"> </w:t>
      </w:r>
      <w:r w:rsidRPr="000E2FAB">
        <w:rPr>
          <w:sz w:val="26"/>
          <w:szCs w:val="26"/>
        </w:rPr>
        <w:t>preserve the complaint for appellate review. Because Mother did not raise her</w:t>
      </w:r>
      <w:r>
        <w:rPr>
          <w:sz w:val="26"/>
          <w:szCs w:val="26"/>
        </w:rPr>
        <w:t xml:space="preserve"> </w:t>
      </w:r>
      <w:r w:rsidRPr="000E2FAB">
        <w:rPr>
          <w:sz w:val="26"/>
          <w:szCs w:val="26"/>
        </w:rPr>
        <w:t>complaint before the initial automatic</w:t>
      </w:r>
      <w:r>
        <w:rPr>
          <w:sz w:val="26"/>
          <w:szCs w:val="26"/>
        </w:rPr>
        <w:t xml:space="preserve"> </w:t>
      </w:r>
      <w:r w:rsidRPr="000E2FAB">
        <w:rPr>
          <w:sz w:val="26"/>
          <w:szCs w:val="26"/>
        </w:rPr>
        <w:t>dismissal deadline and did not oppose</w:t>
      </w:r>
      <w:r>
        <w:rPr>
          <w:sz w:val="26"/>
          <w:szCs w:val="26"/>
        </w:rPr>
        <w:t xml:space="preserve"> </w:t>
      </w:r>
      <w:r w:rsidRPr="000E2FAB">
        <w:rPr>
          <w:sz w:val="26"/>
          <w:szCs w:val="26"/>
        </w:rPr>
        <w:t>the extension, she had not preserved</w:t>
      </w:r>
      <w:r>
        <w:rPr>
          <w:sz w:val="26"/>
          <w:szCs w:val="26"/>
        </w:rPr>
        <w:t xml:space="preserve"> </w:t>
      </w:r>
      <w:r w:rsidRPr="000E2FAB">
        <w:rPr>
          <w:sz w:val="26"/>
          <w:szCs w:val="26"/>
        </w:rPr>
        <w:t>her complaint. Holding otherwise, the</w:t>
      </w:r>
      <w:r>
        <w:rPr>
          <w:sz w:val="26"/>
          <w:szCs w:val="26"/>
        </w:rPr>
        <w:t xml:space="preserve"> </w:t>
      </w:r>
      <w:r w:rsidRPr="000E2FAB">
        <w:rPr>
          <w:sz w:val="26"/>
          <w:szCs w:val="26"/>
        </w:rPr>
        <w:t>Court said, would penalize the trial</w:t>
      </w:r>
      <w:r>
        <w:rPr>
          <w:sz w:val="26"/>
          <w:szCs w:val="26"/>
        </w:rPr>
        <w:t xml:space="preserve"> </w:t>
      </w:r>
      <w:r w:rsidRPr="000E2FAB">
        <w:rPr>
          <w:sz w:val="26"/>
          <w:szCs w:val="26"/>
        </w:rPr>
        <w:t>court for doing its best to honor the parents’ last-minute requests for a jury</w:t>
      </w:r>
      <w:r>
        <w:rPr>
          <w:sz w:val="26"/>
          <w:szCs w:val="26"/>
        </w:rPr>
        <w:t xml:space="preserve"> </w:t>
      </w:r>
      <w:r w:rsidRPr="000E2FAB">
        <w:rPr>
          <w:sz w:val="26"/>
          <w:szCs w:val="26"/>
        </w:rPr>
        <w:t>trial.</w:t>
      </w:r>
    </w:p>
    <w:p w14:paraId="4BAE483E" w14:textId="77777777" w:rsidR="0081088C" w:rsidRPr="000E2FAB" w:rsidRDefault="0081088C" w:rsidP="0081088C">
      <w:pPr>
        <w:jc w:val="both"/>
        <w:rPr>
          <w:sz w:val="26"/>
          <w:szCs w:val="26"/>
        </w:rPr>
      </w:pPr>
    </w:p>
    <w:p w14:paraId="78165A25" w14:textId="77777777" w:rsidR="0081088C" w:rsidRDefault="0081088C" w:rsidP="0081088C">
      <w:pPr>
        <w:jc w:val="both"/>
        <w:rPr>
          <w:sz w:val="26"/>
          <w:szCs w:val="26"/>
        </w:rPr>
      </w:pPr>
      <w:r w:rsidRPr="000E2FAB">
        <w:rPr>
          <w:sz w:val="26"/>
          <w:szCs w:val="26"/>
        </w:rPr>
        <w:t>Justice Boyd concurred in judgment. He would have held that the</w:t>
      </w:r>
      <w:r>
        <w:rPr>
          <w:sz w:val="26"/>
          <w:szCs w:val="26"/>
        </w:rPr>
        <w:t xml:space="preserve"> </w:t>
      </w:r>
      <w:r w:rsidRPr="000E2FAB">
        <w:rPr>
          <w:sz w:val="26"/>
          <w:szCs w:val="26"/>
        </w:rPr>
        <w:t>findings are jurisdictional but can be</w:t>
      </w:r>
      <w:r>
        <w:rPr>
          <w:sz w:val="26"/>
          <w:szCs w:val="26"/>
        </w:rPr>
        <w:t xml:space="preserve"> </w:t>
      </w:r>
      <w:r w:rsidRPr="000E2FAB">
        <w:rPr>
          <w:sz w:val="26"/>
          <w:szCs w:val="26"/>
        </w:rPr>
        <w:t>made impliedly. Because the record in</w:t>
      </w:r>
      <w:r>
        <w:rPr>
          <w:sz w:val="26"/>
          <w:szCs w:val="26"/>
        </w:rPr>
        <w:t xml:space="preserve"> </w:t>
      </w:r>
      <w:r w:rsidRPr="000E2FAB">
        <w:rPr>
          <w:sz w:val="26"/>
          <w:szCs w:val="26"/>
        </w:rPr>
        <w:t>this case supports an implied finding of</w:t>
      </w:r>
      <w:r>
        <w:rPr>
          <w:sz w:val="26"/>
          <w:szCs w:val="26"/>
        </w:rPr>
        <w:t xml:space="preserve"> </w:t>
      </w:r>
      <w:r w:rsidRPr="000E2FAB">
        <w:rPr>
          <w:sz w:val="26"/>
          <w:szCs w:val="26"/>
        </w:rPr>
        <w:t>extraordinary circumstances, he joined</w:t>
      </w:r>
      <w:r>
        <w:rPr>
          <w:sz w:val="26"/>
          <w:szCs w:val="26"/>
        </w:rPr>
        <w:t xml:space="preserve"> </w:t>
      </w:r>
      <w:r w:rsidRPr="000E2FAB">
        <w:rPr>
          <w:sz w:val="26"/>
          <w:szCs w:val="26"/>
        </w:rPr>
        <w:t>the Court’s judgment.</w:t>
      </w:r>
    </w:p>
    <w:p w14:paraId="0C8D45AA" w14:textId="77777777" w:rsidR="0081088C" w:rsidRDefault="0081088C" w:rsidP="0081088C">
      <w:pPr>
        <w:jc w:val="both"/>
        <w:rPr>
          <w:sz w:val="26"/>
          <w:szCs w:val="26"/>
        </w:rPr>
      </w:pPr>
    </w:p>
    <w:p w14:paraId="780D06B3" w14:textId="77777777" w:rsidR="0081088C" w:rsidRPr="001B3DAF" w:rsidRDefault="0081088C" w:rsidP="0081088C">
      <w:pPr>
        <w:jc w:val="both"/>
        <w:rPr>
          <w:sz w:val="26"/>
          <w:szCs w:val="26"/>
        </w:rPr>
      </w:pPr>
    </w:p>
    <w:p w14:paraId="22B646ED" w14:textId="77777777" w:rsidR="0081088C" w:rsidRPr="002855F8" w:rsidRDefault="0081088C" w:rsidP="0081088C">
      <w:pPr>
        <w:jc w:val="both"/>
        <w:rPr>
          <w:b/>
          <w:bCs/>
          <w:sz w:val="26"/>
          <w:szCs w:val="26"/>
        </w:rPr>
      </w:pPr>
      <w:r w:rsidRPr="002855F8">
        <w:rPr>
          <w:b/>
          <w:bCs/>
          <w:sz w:val="26"/>
          <w:szCs w:val="26"/>
        </w:rPr>
        <w:t xml:space="preserve">FEDERAL PREEMPTION </w:t>
      </w:r>
    </w:p>
    <w:p w14:paraId="45CBC678" w14:textId="77777777" w:rsidR="0081088C" w:rsidRDefault="0081088C" w:rsidP="0081088C">
      <w:pPr>
        <w:jc w:val="both"/>
        <w:rPr>
          <w:sz w:val="26"/>
          <w:szCs w:val="26"/>
        </w:rPr>
      </w:pPr>
    </w:p>
    <w:p w14:paraId="3589B14D" w14:textId="77777777" w:rsidR="0081088C" w:rsidRPr="002855F8" w:rsidRDefault="0081088C" w:rsidP="0081088C">
      <w:pPr>
        <w:jc w:val="both"/>
        <w:rPr>
          <w:sz w:val="26"/>
          <w:szCs w:val="26"/>
        </w:rPr>
      </w:pPr>
      <w:r w:rsidRPr="002855F8">
        <w:rPr>
          <w:i/>
          <w:iCs/>
          <w:sz w:val="26"/>
          <w:szCs w:val="26"/>
        </w:rPr>
        <w:t>Horton v. Kan. City S. Ry.</w:t>
      </w:r>
      <w:r>
        <w:rPr>
          <w:i/>
          <w:iCs/>
          <w:sz w:val="26"/>
          <w:szCs w:val="26"/>
        </w:rPr>
        <w:t xml:space="preserve"> </w:t>
      </w:r>
      <w:r w:rsidRPr="002855F8">
        <w:rPr>
          <w:i/>
          <w:iCs/>
          <w:sz w:val="26"/>
          <w:szCs w:val="26"/>
        </w:rPr>
        <w:t>Co</w:t>
      </w:r>
      <w:r w:rsidRPr="002855F8">
        <w:rPr>
          <w:sz w:val="26"/>
          <w:szCs w:val="26"/>
        </w:rPr>
        <w:t>., ___ S.W.3d ___, 2023</w:t>
      </w:r>
      <w:r>
        <w:rPr>
          <w:sz w:val="26"/>
          <w:szCs w:val="26"/>
        </w:rPr>
        <w:t>,</w:t>
      </w:r>
      <w:r w:rsidRPr="002855F8">
        <w:rPr>
          <w:sz w:val="26"/>
          <w:szCs w:val="26"/>
        </w:rPr>
        <w:t xml:space="preserve"> 21-0769</w:t>
      </w:r>
      <w:r>
        <w:rPr>
          <w:sz w:val="26"/>
          <w:szCs w:val="26"/>
        </w:rPr>
        <w:t xml:space="preserve">, </w:t>
      </w:r>
      <w:r w:rsidRPr="002855F8">
        <w:rPr>
          <w:sz w:val="26"/>
          <w:szCs w:val="26"/>
        </w:rPr>
        <w:t>WL</w:t>
      </w:r>
      <w:r>
        <w:rPr>
          <w:sz w:val="26"/>
          <w:szCs w:val="26"/>
        </w:rPr>
        <w:t xml:space="preserve"> </w:t>
      </w:r>
      <w:r w:rsidRPr="002855F8">
        <w:rPr>
          <w:sz w:val="26"/>
          <w:szCs w:val="26"/>
        </w:rPr>
        <w:t>4278230 (Tex. June 30, 2023)</w:t>
      </w:r>
    </w:p>
    <w:p w14:paraId="7E63AA4A" w14:textId="77777777" w:rsidR="0081088C" w:rsidRPr="002855F8" w:rsidRDefault="0081088C" w:rsidP="0081088C">
      <w:pPr>
        <w:jc w:val="both"/>
        <w:rPr>
          <w:sz w:val="26"/>
          <w:szCs w:val="26"/>
        </w:rPr>
      </w:pPr>
    </w:p>
    <w:p w14:paraId="5088D87C" w14:textId="77777777" w:rsidR="0081088C" w:rsidRDefault="0081088C" w:rsidP="0081088C">
      <w:pPr>
        <w:jc w:val="both"/>
        <w:rPr>
          <w:sz w:val="26"/>
          <w:szCs w:val="26"/>
        </w:rPr>
      </w:pPr>
      <w:r w:rsidRPr="002855F8">
        <w:rPr>
          <w:sz w:val="26"/>
          <w:szCs w:val="26"/>
        </w:rPr>
        <w:t xml:space="preserve">This case </w:t>
      </w:r>
      <w:r>
        <w:rPr>
          <w:sz w:val="26"/>
          <w:szCs w:val="26"/>
        </w:rPr>
        <w:t>is about</w:t>
      </w:r>
      <w:r w:rsidRPr="002855F8">
        <w:rPr>
          <w:sz w:val="26"/>
          <w:szCs w:val="26"/>
        </w:rPr>
        <w:t xml:space="preserve"> questions of federal preemption, evidentiary sufficiency, and charge error. Ladonna Sue</w:t>
      </w:r>
      <w:r>
        <w:rPr>
          <w:sz w:val="26"/>
          <w:szCs w:val="26"/>
        </w:rPr>
        <w:t xml:space="preserve"> </w:t>
      </w:r>
      <w:r w:rsidRPr="002855F8">
        <w:rPr>
          <w:sz w:val="26"/>
          <w:szCs w:val="26"/>
        </w:rPr>
        <w:t>Rigsby was killed when her truck collided with a train operated by Kansas</w:t>
      </w:r>
      <w:r>
        <w:rPr>
          <w:sz w:val="26"/>
          <w:szCs w:val="26"/>
        </w:rPr>
        <w:t xml:space="preserve"> </w:t>
      </w:r>
      <w:r w:rsidRPr="002855F8">
        <w:rPr>
          <w:sz w:val="26"/>
          <w:szCs w:val="26"/>
        </w:rPr>
        <w:t>City Southern Railroad Company while</w:t>
      </w:r>
      <w:r>
        <w:rPr>
          <w:sz w:val="26"/>
          <w:szCs w:val="26"/>
        </w:rPr>
        <w:t xml:space="preserve"> </w:t>
      </w:r>
      <w:r w:rsidRPr="002855F8">
        <w:rPr>
          <w:sz w:val="26"/>
          <w:szCs w:val="26"/>
        </w:rPr>
        <w:t>she was driving across a railroad crossing. Her children sued the Railroad</w:t>
      </w:r>
      <w:r>
        <w:rPr>
          <w:sz w:val="26"/>
          <w:szCs w:val="26"/>
        </w:rPr>
        <w:t xml:space="preserve"> </w:t>
      </w:r>
      <w:r w:rsidRPr="002855F8">
        <w:rPr>
          <w:sz w:val="26"/>
          <w:szCs w:val="26"/>
        </w:rPr>
        <w:t>Company, alleging two theories of liability: (1) the Railroad Company failed</w:t>
      </w:r>
      <w:r>
        <w:rPr>
          <w:sz w:val="26"/>
          <w:szCs w:val="26"/>
        </w:rPr>
        <w:t xml:space="preserve"> </w:t>
      </w:r>
      <w:r w:rsidRPr="002855F8">
        <w:rPr>
          <w:sz w:val="26"/>
          <w:szCs w:val="26"/>
        </w:rPr>
        <w:t>to correct a raised hump at the midpoint of the crossing; and (2) it failed to</w:t>
      </w:r>
      <w:r>
        <w:rPr>
          <w:sz w:val="26"/>
          <w:szCs w:val="26"/>
        </w:rPr>
        <w:t xml:space="preserve"> </w:t>
      </w:r>
      <w:r w:rsidRPr="002855F8">
        <w:rPr>
          <w:sz w:val="26"/>
          <w:szCs w:val="26"/>
        </w:rPr>
        <w:t>maintain a yield sign at the crossing.</w:t>
      </w:r>
      <w:r>
        <w:rPr>
          <w:sz w:val="26"/>
          <w:szCs w:val="26"/>
        </w:rPr>
        <w:t xml:space="preserve"> </w:t>
      </w:r>
      <w:r w:rsidRPr="002855F8">
        <w:rPr>
          <w:sz w:val="26"/>
          <w:szCs w:val="26"/>
        </w:rPr>
        <w:t>Both theories were submitted to the</w:t>
      </w:r>
      <w:r>
        <w:rPr>
          <w:sz w:val="26"/>
          <w:szCs w:val="26"/>
        </w:rPr>
        <w:t xml:space="preserve"> </w:t>
      </w:r>
      <w:r w:rsidRPr="002855F8">
        <w:rPr>
          <w:sz w:val="26"/>
          <w:szCs w:val="26"/>
        </w:rPr>
        <w:t>jury in one liability question. The jury</w:t>
      </w:r>
      <w:r>
        <w:rPr>
          <w:sz w:val="26"/>
          <w:szCs w:val="26"/>
        </w:rPr>
        <w:t xml:space="preserve"> </w:t>
      </w:r>
      <w:r w:rsidRPr="002855F8">
        <w:rPr>
          <w:sz w:val="26"/>
          <w:szCs w:val="26"/>
        </w:rPr>
        <w:t>found both the Railroad Company and</w:t>
      </w:r>
      <w:r>
        <w:rPr>
          <w:sz w:val="26"/>
          <w:szCs w:val="26"/>
        </w:rPr>
        <w:t xml:space="preserve"> </w:t>
      </w:r>
      <w:r w:rsidRPr="002855F8">
        <w:rPr>
          <w:sz w:val="26"/>
          <w:szCs w:val="26"/>
        </w:rPr>
        <w:t>Rigsby negligent, and the trial court</w:t>
      </w:r>
      <w:r>
        <w:rPr>
          <w:sz w:val="26"/>
          <w:szCs w:val="26"/>
        </w:rPr>
        <w:t xml:space="preserve"> </w:t>
      </w:r>
      <w:r w:rsidRPr="002855F8">
        <w:rPr>
          <w:sz w:val="26"/>
          <w:szCs w:val="26"/>
        </w:rPr>
        <w:t>awarded the plaintiffs damages for the</w:t>
      </w:r>
      <w:r>
        <w:rPr>
          <w:sz w:val="26"/>
          <w:szCs w:val="26"/>
        </w:rPr>
        <w:t xml:space="preserve"> </w:t>
      </w:r>
      <w:r w:rsidRPr="002855F8">
        <w:rPr>
          <w:sz w:val="26"/>
          <w:szCs w:val="26"/>
        </w:rPr>
        <w:t>Railroad Company’s negligence.</w:t>
      </w:r>
      <w:r>
        <w:rPr>
          <w:sz w:val="26"/>
          <w:szCs w:val="26"/>
        </w:rPr>
        <w:t xml:space="preserve"> </w:t>
      </w:r>
      <w:r w:rsidRPr="002855F8">
        <w:rPr>
          <w:sz w:val="26"/>
          <w:szCs w:val="26"/>
        </w:rPr>
        <w:t>A divided court of appeals reversed. The majority concluded that</w:t>
      </w:r>
      <w:r>
        <w:rPr>
          <w:sz w:val="26"/>
          <w:szCs w:val="26"/>
        </w:rPr>
        <w:t xml:space="preserve"> </w:t>
      </w:r>
      <w:r w:rsidRPr="002855F8">
        <w:rPr>
          <w:sz w:val="26"/>
          <w:szCs w:val="26"/>
        </w:rPr>
        <w:t>the federal Interstate Commerce Commission Termination Act preempted</w:t>
      </w:r>
      <w:r>
        <w:rPr>
          <w:sz w:val="26"/>
          <w:szCs w:val="26"/>
        </w:rPr>
        <w:t xml:space="preserve"> </w:t>
      </w:r>
      <w:r w:rsidRPr="002855F8">
        <w:rPr>
          <w:sz w:val="26"/>
          <w:szCs w:val="26"/>
        </w:rPr>
        <w:t>the plaintiffs’ humped-crossing theory</w:t>
      </w:r>
      <w:r>
        <w:rPr>
          <w:sz w:val="26"/>
          <w:szCs w:val="26"/>
        </w:rPr>
        <w:t xml:space="preserve"> </w:t>
      </w:r>
      <w:r w:rsidRPr="002855F8">
        <w:rPr>
          <w:sz w:val="26"/>
          <w:szCs w:val="26"/>
        </w:rPr>
        <w:t>and that the submission of both theories in a single liability question was</w:t>
      </w:r>
      <w:r>
        <w:rPr>
          <w:sz w:val="26"/>
          <w:szCs w:val="26"/>
        </w:rPr>
        <w:t xml:space="preserve"> </w:t>
      </w:r>
      <w:r w:rsidRPr="002855F8">
        <w:rPr>
          <w:sz w:val="26"/>
          <w:szCs w:val="26"/>
        </w:rPr>
        <w:t>harmful error. The court remanded for</w:t>
      </w:r>
      <w:r>
        <w:rPr>
          <w:sz w:val="26"/>
          <w:szCs w:val="26"/>
        </w:rPr>
        <w:t xml:space="preserve"> </w:t>
      </w:r>
      <w:r w:rsidRPr="002855F8">
        <w:rPr>
          <w:sz w:val="26"/>
          <w:szCs w:val="26"/>
        </w:rPr>
        <w:t>a new trial on the yield-sign theory</w:t>
      </w:r>
      <w:r>
        <w:rPr>
          <w:sz w:val="26"/>
          <w:szCs w:val="26"/>
        </w:rPr>
        <w:t xml:space="preserve"> </w:t>
      </w:r>
      <w:r w:rsidRPr="002855F8">
        <w:rPr>
          <w:sz w:val="26"/>
          <w:szCs w:val="26"/>
        </w:rPr>
        <w:t>alone.</w:t>
      </w:r>
    </w:p>
    <w:p w14:paraId="2CE5F3C6" w14:textId="77777777" w:rsidR="0081088C" w:rsidRPr="002855F8" w:rsidRDefault="0081088C" w:rsidP="0081088C">
      <w:pPr>
        <w:jc w:val="both"/>
        <w:rPr>
          <w:sz w:val="26"/>
          <w:szCs w:val="26"/>
        </w:rPr>
      </w:pPr>
    </w:p>
    <w:p w14:paraId="0CC5CDE5" w14:textId="77777777" w:rsidR="0081088C" w:rsidRDefault="0081088C" w:rsidP="0081088C">
      <w:pPr>
        <w:jc w:val="both"/>
        <w:rPr>
          <w:sz w:val="26"/>
          <w:szCs w:val="26"/>
        </w:rPr>
      </w:pPr>
      <w:r w:rsidRPr="002855F8">
        <w:rPr>
          <w:sz w:val="26"/>
          <w:szCs w:val="26"/>
        </w:rPr>
        <w:t>Both sides petitioned for review.</w:t>
      </w:r>
      <w:r>
        <w:rPr>
          <w:sz w:val="26"/>
          <w:szCs w:val="26"/>
        </w:rPr>
        <w:t xml:space="preserve"> </w:t>
      </w:r>
      <w:r w:rsidRPr="002855F8">
        <w:rPr>
          <w:sz w:val="26"/>
          <w:szCs w:val="26"/>
        </w:rPr>
        <w:t>The Supreme Court granted the petitions and affirmed the court of appeals’</w:t>
      </w:r>
      <w:r>
        <w:rPr>
          <w:sz w:val="26"/>
          <w:szCs w:val="26"/>
        </w:rPr>
        <w:t xml:space="preserve"> </w:t>
      </w:r>
      <w:r w:rsidRPr="002855F8">
        <w:rPr>
          <w:sz w:val="26"/>
          <w:szCs w:val="26"/>
        </w:rPr>
        <w:t>judgment but for different reasons. The</w:t>
      </w:r>
      <w:r>
        <w:rPr>
          <w:sz w:val="26"/>
          <w:szCs w:val="26"/>
        </w:rPr>
        <w:t xml:space="preserve"> </w:t>
      </w:r>
      <w:r w:rsidRPr="002855F8">
        <w:rPr>
          <w:sz w:val="26"/>
          <w:szCs w:val="26"/>
        </w:rPr>
        <w:t xml:space="preserve">Court held that (1) federal law </w:t>
      </w:r>
      <w:r w:rsidRPr="00770F3F">
        <w:rPr>
          <w:i/>
          <w:iCs/>
          <w:sz w:val="26"/>
          <w:szCs w:val="26"/>
        </w:rPr>
        <w:t>does not expressly or impliedly preempt</w:t>
      </w:r>
      <w:r w:rsidRPr="002855F8">
        <w:rPr>
          <w:sz w:val="26"/>
          <w:szCs w:val="26"/>
        </w:rPr>
        <w:t xml:space="preserve"> the</w:t>
      </w:r>
      <w:r>
        <w:rPr>
          <w:sz w:val="26"/>
          <w:szCs w:val="26"/>
        </w:rPr>
        <w:t xml:space="preserve"> </w:t>
      </w:r>
      <w:r w:rsidRPr="002855F8">
        <w:rPr>
          <w:sz w:val="26"/>
          <w:szCs w:val="26"/>
        </w:rPr>
        <w:t>humped-crossing claim; and (2) no evidence supports the jury’s finding that</w:t>
      </w:r>
      <w:r>
        <w:rPr>
          <w:sz w:val="26"/>
          <w:szCs w:val="26"/>
        </w:rPr>
        <w:t xml:space="preserve"> </w:t>
      </w:r>
      <w:r w:rsidRPr="002855F8">
        <w:rPr>
          <w:sz w:val="26"/>
          <w:szCs w:val="26"/>
        </w:rPr>
        <w:t>the absence of the yield sign proximately caused the accident. However,</w:t>
      </w:r>
      <w:r>
        <w:rPr>
          <w:sz w:val="26"/>
          <w:szCs w:val="26"/>
        </w:rPr>
        <w:t xml:space="preserve"> </w:t>
      </w:r>
      <w:r w:rsidRPr="002855F8">
        <w:rPr>
          <w:sz w:val="26"/>
          <w:szCs w:val="26"/>
        </w:rPr>
        <w:t>the Court agreed that a new trial is required because submitting both theories in a single broad-form question</w:t>
      </w:r>
      <w:r>
        <w:rPr>
          <w:sz w:val="26"/>
          <w:szCs w:val="26"/>
        </w:rPr>
        <w:t xml:space="preserve"> </w:t>
      </w:r>
      <w:r w:rsidRPr="002855F8">
        <w:rPr>
          <w:sz w:val="26"/>
          <w:szCs w:val="26"/>
        </w:rPr>
        <w:t>was harmful error.</w:t>
      </w:r>
      <w:r>
        <w:rPr>
          <w:sz w:val="26"/>
          <w:szCs w:val="26"/>
        </w:rPr>
        <w:t xml:space="preserve"> (This jury charge error is known as </w:t>
      </w:r>
      <w:r w:rsidRPr="00770F3F">
        <w:rPr>
          <w:i/>
          <w:iCs/>
          <w:sz w:val="26"/>
          <w:szCs w:val="26"/>
        </w:rPr>
        <w:t>Casteel</w:t>
      </w:r>
      <w:r>
        <w:rPr>
          <w:sz w:val="26"/>
          <w:szCs w:val="26"/>
        </w:rPr>
        <w:t xml:space="preserve"> error; </w:t>
      </w:r>
      <w:r w:rsidRPr="00770F3F">
        <w:rPr>
          <w:sz w:val="26"/>
          <w:szCs w:val="26"/>
        </w:rPr>
        <w:t>when erroneous theories of liability or damages are mixed with valid theories and the reviewing court is unable to determine whether the improperly submitted theories formed the sole bases of the jury's verdict or damages</w:t>
      </w:r>
      <w:r>
        <w:rPr>
          <w:sz w:val="26"/>
          <w:szCs w:val="26"/>
        </w:rPr>
        <w:t xml:space="preserve">, the matter is reversed. </w:t>
      </w:r>
      <w:r w:rsidRPr="00770F3F">
        <w:rPr>
          <w:i/>
          <w:iCs/>
          <w:sz w:val="26"/>
          <w:szCs w:val="26"/>
        </w:rPr>
        <w:t>Crown Life Ins. Co. v. Casteel</w:t>
      </w:r>
      <w:r w:rsidRPr="00770F3F">
        <w:rPr>
          <w:sz w:val="26"/>
          <w:szCs w:val="26"/>
        </w:rPr>
        <w:t>, 22 S.W.3d 378, 389 (Tex. 2000)</w:t>
      </w:r>
      <w:r>
        <w:rPr>
          <w:sz w:val="26"/>
          <w:szCs w:val="26"/>
        </w:rPr>
        <w:t>)</w:t>
      </w:r>
    </w:p>
    <w:p w14:paraId="1B78914D" w14:textId="77777777" w:rsidR="0081088C" w:rsidRPr="002855F8" w:rsidRDefault="0081088C" w:rsidP="0081088C">
      <w:pPr>
        <w:jc w:val="both"/>
        <w:rPr>
          <w:sz w:val="26"/>
          <w:szCs w:val="26"/>
        </w:rPr>
      </w:pPr>
    </w:p>
    <w:p w14:paraId="7B6AF8E8" w14:textId="77777777" w:rsidR="0081088C" w:rsidRDefault="0081088C" w:rsidP="0081088C">
      <w:pPr>
        <w:jc w:val="both"/>
        <w:rPr>
          <w:i/>
          <w:iCs/>
          <w:sz w:val="26"/>
          <w:szCs w:val="26"/>
        </w:rPr>
      </w:pPr>
      <w:r w:rsidRPr="002855F8">
        <w:rPr>
          <w:sz w:val="26"/>
          <w:szCs w:val="26"/>
        </w:rPr>
        <w:t>Justice Busby filed a concurring</w:t>
      </w:r>
      <w:r>
        <w:rPr>
          <w:sz w:val="26"/>
          <w:szCs w:val="26"/>
        </w:rPr>
        <w:t xml:space="preserve"> </w:t>
      </w:r>
      <w:r w:rsidRPr="002855F8">
        <w:rPr>
          <w:sz w:val="26"/>
          <w:szCs w:val="26"/>
        </w:rPr>
        <w:t>opinion, urging the Supreme Court of</w:t>
      </w:r>
      <w:r>
        <w:rPr>
          <w:sz w:val="26"/>
          <w:szCs w:val="26"/>
        </w:rPr>
        <w:t xml:space="preserve"> </w:t>
      </w:r>
      <w:r w:rsidRPr="002855F8">
        <w:rPr>
          <w:sz w:val="26"/>
          <w:szCs w:val="26"/>
        </w:rPr>
        <w:t xml:space="preserve">the United States to reconsider </w:t>
      </w:r>
      <w:r w:rsidRPr="00770F3F">
        <w:rPr>
          <w:i/>
          <w:iCs/>
          <w:sz w:val="26"/>
          <w:szCs w:val="26"/>
        </w:rPr>
        <w:t>Hines v. Davidowitz</w:t>
      </w:r>
      <w:r w:rsidRPr="002855F8">
        <w:rPr>
          <w:sz w:val="26"/>
          <w:szCs w:val="26"/>
        </w:rPr>
        <w:t>, 312 U.S. 52, 68 (1941),</w:t>
      </w:r>
      <w:r>
        <w:rPr>
          <w:sz w:val="26"/>
          <w:szCs w:val="26"/>
        </w:rPr>
        <w:t xml:space="preserve"> </w:t>
      </w:r>
      <w:r w:rsidRPr="002855F8">
        <w:rPr>
          <w:sz w:val="26"/>
          <w:szCs w:val="26"/>
        </w:rPr>
        <w:t>and its progeny on the basis that implied obstacle preemption is inconsistent with the federal Constitution</w:t>
      </w:r>
      <w:r w:rsidRPr="002855F8">
        <w:rPr>
          <w:i/>
          <w:iCs/>
          <w:sz w:val="26"/>
          <w:szCs w:val="26"/>
        </w:rPr>
        <w:t>.</w:t>
      </w:r>
    </w:p>
    <w:p w14:paraId="51DBD67D" w14:textId="77777777" w:rsidR="0081088C" w:rsidRDefault="0081088C" w:rsidP="0081088C">
      <w:pPr>
        <w:jc w:val="both"/>
        <w:rPr>
          <w:sz w:val="26"/>
          <w:szCs w:val="26"/>
        </w:rPr>
      </w:pPr>
    </w:p>
    <w:p w14:paraId="3BDD424D" w14:textId="77777777" w:rsidR="0081088C" w:rsidRPr="002855F8" w:rsidRDefault="0081088C" w:rsidP="0081088C">
      <w:pPr>
        <w:jc w:val="both"/>
        <w:rPr>
          <w:sz w:val="26"/>
          <w:szCs w:val="26"/>
        </w:rPr>
      </w:pPr>
    </w:p>
    <w:p w14:paraId="79C05D23" w14:textId="32455BCA" w:rsidR="0081088C" w:rsidRDefault="0081088C" w:rsidP="0081088C">
      <w:pPr>
        <w:jc w:val="both"/>
        <w:rPr>
          <w:b/>
          <w:bCs/>
          <w:sz w:val="26"/>
          <w:szCs w:val="26"/>
          <w:highlight w:val="yellow"/>
        </w:rPr>
      </w:pPr>
      <w:r w:rsidRPr="004A0CCD">
        <w:rPr>
          <w:b/>
          <w:bCs/>
          <w:sz w:val="26"/>
          <w:szCs w:val="26"/>
        </w:rPr>
        <w:t>ELECTIONS</w:t>
      </w:r>
    </w:p>
    <w:p w14:paraId="63C1FED9" w14:textId="77777777" w:rsidR="0081088C" w:rsidRDefault="0081088C" w:rsidP="0081088C">
      <w:pPr>
        <w:jc w:val="both"/>
        <w:rPr>
          <w:b/>
          <w:bCs/>
          <w:sz w:val="26"/>
          <w:szCs w:val="26"/>
          <w:highlight w:val="yellow"/>
        </w:rPr>
      </w:pPr>
    </w:p>
    <w:p w14:paraId="245AC3D8" w14:textId="77777777" w:rsidR="0081088C" w:rsidRPr="004A0CCD" w:rsidRDefault="0081088C" w:rsidP="0081088C">
      <w:pPr>
        <w:jc w:val="both"/>
        <w:rPr>
          <w:sz w:val="26"/>
          <w:szCs w:val="26"/>
        </w:rPr>
      </w:pPr>
      <w:r w:rsidRPr="004A0CCD">
        <w:rPr>
          <w:i/>
          <w:iCs/>
          <w:sz w:val="26"/>
          <w:szCs w:val="26"/>
        </w:rPr>
        <w:t xml:space="preserve">Abbott v. Harris County, </w:t>
      </w:r>
      <w:r w:rsidRPr="004A0CCD">
        <w:rPr>
          <w:sz w:val="26"/>
          <w:szCs w:val="26"/>
        </w:rPr>
        <w:t>___</w:t>
      </w:r>
      <w:r>
        <w:rPr>
          <w:sz w:val="26"/>
          <w:szCs w:val="26"/>
        </w:rPr>
        <w:t xml:space="preserve"> </w:t>
      </w:r>
      <w:r w:rsidRPr="004A0CCD">
        <w:rPr>
          <w:sz w:val="26"/>
          <w:szCs w:val="26"/>
        </w:rPr>
        <w:t>S.W.3d ___, 22-0124</w:t>
      </w:r>
      <w:r>
        <w:rPr>
          <w:sz w:val="26"/>
          <w:szCs w:val="26"/>
        </w:rPr>
        <w:t xml:space="preserve">, </w:t>
      </w:r>
      <w:r w:rsidRPr="004A0CCD">
        <w:rPr>
          <w:sz w:val="26"/>
          <w:szCs w:val="26"/>
        </w:rPr>
        <w:t>2023 WL</w:t>
      </w:r>
      <w:r>
        <w:rPr>
          <w:sz w:val="26"/>
          <w:szCs w:val="26"/>
        </w:rPr>
        <w:t xml:space="preserve"> </w:t>
      </w:r>
      <w:r w:rsidRPr="004A0CCD">
        <w:rPr>
          <w:sz w:val="26"/>
          <w:szCs w:val="26"/>
        </w:rPr>
        <w:t>4278763 (Tex. June 30, 2023)</w:t>
      </w:r>
    </w:p>
    <w:p w14:paraId="4917F65B" w14:textId="77777777" w:rsidR="0081088C" w:rsidRDefault="0081088C" w:rsidP="0081088C">
      <w:pPr>
        <w:jc w:val="both"/>
        <w:rPr>
          <w:sz w:val="26"/>
          <w:szCs w:val="26"/>
        </w:rPr>
      </w:pPr>
    </w:p>
    <w:p w14:paraId="3752E670" w14:textId="77777777" w:rsidR="0081088C" w:rsidRDefault="0081088C" w:rsidP="0081088C">
      <w:pPr>
        <w:jc w:val="both"/>
        <w:rPr>
          <w:sz w:val="26"/>
          <w:szCs w:val="26"/>
        </w:rPr>
      </w:pPr>
      <w:r>
        <w:rPr>
          <w:sz w:val="26"/>
          <w:szCs w:val="26"/>
        </w:rPr>
        <w:t>In a hot-issue case, t</w:t>
      </w:r>
      <w:r w:rsidRPr="004A0CCD">
        <w:rPr>
          <w:sz w:val="26"/>
          <w:szCs w:val="26"/>
        </w:rPr>
        <w:t xml:space="preserve">he question </w:t>
      </w:r>
      <w:r>
        <w:rPr>
          <w:sz w:val="26"/>
          <w:szCs w:val="26"/>
        </w:rPr>
        <w:t xml:space="preserve">was </w:t>
      </w:r>
      <w:r w:rsidRPr="004A0CCD">
        <w:rPr>
          <w:sz w:val="26"/>
          <w:szCs w:val="26"/>
        </w:rPr>
        <w:t>case is whether the Governor has authority to issue executive orders that</w:t>
      </w:r>
      <w:r>
        <w:rPr>
          <w:sz w:val="26"/>
          <w:szCs w:val="26"/>
        </w:rPr>
        <w:t xml:space="preserve"> </w:t>
      </w:r>
      <w:r w:rsidRPr="004A0CCD">
        <w:rPr>
          <w:i/>
          <w:iCs/>
          <w:sz w:val="26"/>
          <w:szCs w:val="26"/>
        </w:rPr>
        <w:t>prohibit</w:t>
      </w:r>
      <w:r w:rsidRPr="004A0CCD">
        <w:rPr>
          <w:sz w:val="26"/>
          <w:szCs w:val="26"/>
        </w:rPr>
        <w:t xml:space="preserve"> local governments from imposing mask-wearing requirements in response to the coronavirus pandemic.</w:t>
      </w:r>
      <w:r>
        <w:rPr>
          <w:sz w:val="26"/>
          <w:szCs w:val="26"/>
        </w:rPr>
        <w:t xml:space="preserve"> </w:t>
      </w:r>
      <w:r w:rsidRPr="004A0CCD">
        <w:rPr>
          <w:sz w:val="26"/>
          <w:szCs w:val="26"/>
        </w:rPr>
        <w:t>In 2020 and 2021, Harris County</w:t>
      </w:r>
      <w:r>
        <w:rPr>
          <w:sz w:val="26"/>
          <w:szCs w:val="26"/>
        </w:rPr>
        <w:t xml:space="preserve"> </w:t>
      </w:r>
      <w:r w:rsidRPr="004A0CCD">
        <w:rPr>
          <w:sz w:val="26"/>
          <w:szCs w:val="26"/>
        </w:rPr>
        <w:t>officials issued a series of executive orders requiring masks in certain public</w:t>
      </w:r>
      <w:r>
        <w:rPr>
          <w:sz w:val="26"/>
          <w:szCs w:val="26"/>
        </w:rPr>
        <w:t xml:space="preserve"> </w:t>
      </w:r>
      <w:r w:rsidRPr="004A0CCD">
        <w:rPr>
          <w:sz w:val="26"/>
          <w:szCs w:val="26"/>
        </w:rPr>
        <w:t>settings. The Governor then issued executive order GA-38, which stated that</w:t>
      </w:r>
      <w:r>
        <w:rPr>
          <w:sz w:val="26"/>
          <w:szCs w:val="26"/>
        </w:rPr>
        <w:t xml:space="preserve"> </w:t>
      </w:r>
      <w:r w:rsidRPr="004A0CCD">
        <w:rPr>
          <w:sz w:val="26"/>
          <w:szCs w:val="26"/>
        </w:rPr>
        <w:t>no local government or official “may require any person to wear a face covering.” Citing independent authority under the Disaster Act and the Health</w:t>
      </w:r>
      <w:r>
        <w:rPr>
          <w:sz w:val="26"/>
          <w:szCs w:val="26"/>
        </w:rPr>
        <w:t xml:space="preserve"> </w:t>
      </w:r>
      <w:r w:rsidRPr="004A0CCD">
        <w:rPr>
          <w:sz w:val="26"/>
          <w:szCs w:val="26"/>
        </w:rPr>
        <w:t>and Safety Code, Harris County obtained a temporary injunction against</w:t>
      </w:r>
      <w:r>
        <w:rPr>
          <w:sz w:val="26"/>
          <w:szCs w:val="26"/>
        </w:rPr>
        <w:t xml:space="preserve"> </w:t>
      </w:r>
      <w:r w:rsidRPr="004A0CCD">
        <w:rPr>
          <w:sz w:val="26"/>
          <w:szCs w:val="26"/>
        </w:rPr>
        <w:t>the enforcement of GA-38 and future</w:t>
      </w:r>
      <w:r>
        <w:rPr>
          <w:sz w:val="26"/>
          <w:szCs w:val="26"/>
        </w:rPr>
        <w:t xml:space="preserve"> </w:t>
      </w:r>
      <w:r w:rsidRPr="004A0CCD">
        <w:rPr>
          <w:sz w:val="26"/>
          <w:szCs w:val="26"/>
        </w:rPr>
        <w:t>orders. The court of appeals affirmed.</w:t>
      </w:r>
    </w:p>
    <w:p w14:paraId="025F2750" w14:textId="77777777" w:rsidR="0081088C" w:rsidRPr="004A0CCD" w:rsidRDefault="0081088C" w:rsidP="0081088C">
      <w:pPr>
        <w:jc w:val="both"/>
        <w:rPr>
          <w:sz w:val="26"/>
          <w:szCs w:val="26"/>
        </w:rPr>
      </w:pPr>
    </w:p>
    <w:p w14:paraId="1773ECA0" w14:textId="77777777" w:rsidR="0081088C" w:rsidRDefault="0081088C" w:rsidP="0081088C">
      <w:pPr>
        <w:jc w:val="both"/>
        <w:rPr>
          <w:sz w:val="26"/>
          <w:szCs w:val="26"/>
        </w:rPr>
      </w:pPr>
      <w:r w:rsidRPr="004A0CCD">
        <w:rPr>
          <w:sz w:val="26"/>
          <w:szCs w:val="26"/>
        </w:rPr>
        <w:t>The Supreme Court reversed</w:t>
      </w:r>
      <w:r>
        <w:rPr>
          <w:sz w:val="26"/>
          <w:szCs w:val="26"/>
        </w:rPr>
        <w:t xml:space="preserve"> </w:t>
      </w:r>
      <w:r w:rsidRPr="004A0CCD">
        <w:rPr>
          <w:sz w:val="26"/>
          <w:szCs w:val="26"/>
        </w:rPr>
        <w:t>and dissolved the temporary injunction. It concluded that the County had</w:t>
      </w:r>
      <w:r>
        <w:rPr>
          <w:sz w:val="26"/>
          <w:szCs w:val="26"/>
        </w:rPr>
        <w:t xml:space="preserve"> </w:t>
      </w:r>
      <w:r w:rsidRPr="004A0CCD">
        <w:rPr>
          <w:sz w:val="26"/>
          <w:szCs w:val="26"/>
        </w:rPr>
        <w:t>standing to sue the Attorney General</w:t>
      </w:r>
      <w:r>
        <w:rPr>
          <w:sz w:val="26"/>
          <w:szCs w:val="26"/>
        </w:rPr>
        <w:t xml:space="preserve"> </w:t>
      </w:r>
      <w:r w:rsidRPr="004A0CCD">
        <w:rPr>
          <w:sz w:val="26"/>
          <w:szCs w:val="26"/>
        </w:rPr>
        <w:t>but no probable right to relief. The</w:t>
      </w:r>
      <w:r>
        <w:rPr>
          <w:sz w:val="26"/>
          <w:szCs w:val="26"/>
        </w:rPr>
        <w:t xml:space="preserve"> </w:t>
      </w:r>
      <w:r w:rsidRPr="004A0CCD">
        <w:rPr>
          <w:sz w:val="26"/>
          <w:szCs w:val="26"/>
        </w:rPr>
        <w:t>Court concluded that county judges,</w:t>
      </w:r>
      <w:r>
        <w:rPr>
          <w:sz w:val="26"/>
          <w:szCs w:val="26"/>
        </w:rPr>
        <w:t xml:space="preserve"> </w:t>
      </w:r>
      <w:r w:rsidRPr="004A0CCD">
        <w:rPr>
          <w:sz w:val="26"/>
          <w:szCs w:val="26"/>
        </w:rPr>
        <w:t>who are the Governor’s designated</w:t>
      </w:r>
      <w:r>
        <w:rPr>
          <w:sz w:val="26"/>
          <w:szCs w:val="26"/>
        </w:rPr>
        <w:t xml:space="preserve"> </w:t>
      </w:r>
      <w:r w:rsidRPr="004A0CCD">
        <w:rPr>
          <w:sz w:val="26"/>
          <w:szCs w:val="26"/>
        </w:rPr>
        <w:t>agents, have no authority to issue contrary orders. And while the Court noted</w:t>
      </w:r>
      <w:r>
        <w:rPr>
          <w:sz w:val="26"/>
          <w:szCs w:val="26"/>
        </w:rPr>
        <w:t xml:space="preserve"> </w:t>
      </w:r>
      <w:r w:rsidRPr="004A0CCD">
        <w:rPr>
          <w:sz w:val="26"/>
          <w:szCs w:val="26"/>
        </w:rPr>
        <w:t>that the Governor’s view of the Act created constitutional questions, it concluded that GA-38 fell within the Governor’s authority to control the movement of persons and the occupancy of</w:t>
      </w:r>
      <w:r>
        <w:rPr>
          <w:sz w:val="26"/>
          <w:szCs w:val="26"/>
        </w:rPr>
        <w:t xml:space="preserve"> </w:t>
      </w:r>
      <w:r w:rsidRPr="004A0CCD">
        <w:rPr>
          <w:sz w:val="26"/>
          <w:szCs w:val="26"/>
        </w:rPr>
        <w:t>premises in a disaster area. In light of</w:t>
      </w:r>
      <w:r>
        <w:rPr>
          <w:sz w:val="26"/>
          <w:szCs w:val="26"/>
        </w:rPr>
        <w:t xml:space="preserve"> </w:t>
      </w:r>
      <w:r w:rsidRPr="004A0CCD">
        <w:rPr>
          <w:sz w:val="26"/>
          <w:szCs w:val="26"/>
        </w:rPr>
        <w:t>statutory provisions vesting the State</w:t>
      </w:r>
      <w:r>
        <w:rPr>
          <w:sz w:val="26"/>
          <w:szCs w:val="26"/>
        </w:rPr>
        <w:t xml:space="preserve"> </w:t>
      </w:r>
      <w:r w:rsidRPr="004A0CCD">
        <w:rPr>
          <w:sz w:val="26"/>
          <w:szCs w:val="26"/>
        </w:rPr>
        <w:t>with final authority over contagious</w:t>
      </w:r>
      <w:r>
        <w:rPr>
          <w:sz w:val="26"/>
          <w:szCs w:val="26"/>
        </w:rPr>
        <w:t xml:space="preserve"> </w:t>
      </w:r>
      <w:r w:rsidRPr="004A0CCD">
        <w:rPr>
          <w:sz w:val="26"/>
          <w:szCs w:val="26"/>
        </w:rPr>
        <w:t>disease response, the Court concluded</w:t>
      </w:r>
      <w:r>
        <w:rPr>
          <w:sz w:val="26"/>
          <w:szCs w:val="26"/>
        </w:rPr>
        <w:t xml:space="preserve"> </w:t>
      </w:r>
      <w:r w:rsidRPr="004A0CCD">
        <w:rPr>
          <w:sz w:val="26"/>
          <w:szCs w:val="26"/>
        </w:rPr>
        <w:t>that the Disaster Act at least authorizes the Governor to control local governments’ disease control measures,</w:t>
      </w:r>
      <w:r>
        <w:rPr>
          <w:sz w:val="26"/>
          <w:szCs w:val="26"/>
        </w:rPr>
        <w:t xml:space="preserve"> </w:t>
      </w:r>
      <w:r w:rsidRPr="004A0CCD">
        <w:rPr>
          <w:sz w:val="26"/>
          <w:szCs w:val="26"/>
        </w:rPr>
        <w:t>whether or not it also allows him to impose mask-wearing requirements of his</w:t>
      </w:r>
      <w:r>
        <w:rPr>
          <w:sz w:val="26"/>
          <w:szCs w:val="26"/>
        </w:rPr>
        <w:t xml:space="preserve"> </w:t>
      </w:r>
      <w:r w:rsidRPr="004A0CCD">
        <w:rPr>
          <w:sz w:val="26"/>
          <w:szCs w:val="26"/>
        </w:rPr>
        <w:t>own. In light of its decision, the Court</w:t>
      </w:r>
      <w:r>
        <w:rPr>
          <w:sz w:val="26"/>
          <w:szCs w:val="26"/>
        </w:rPr>
        <w:t xml:space="preserve"> </w:t>
      </w:r>
      <w:r w:rsidRPr="004A0CCD">
        <w:rPr>
          <w:sz w:val="26"/>
          <w:szCs w:val="26"/>
        </w:rPr>
        <w:t>vacated and remanded similar cases</w:t>
      </w:r>
      <w:r>
        <w:rPr>
          <w:sz w:val="26"/>
          <w:szCs w:val="26"/>
        </w:rPr>
        <w:t xml:space="preserve"> </w:t>
      </w:r>
      <w:r w:rsidRPr="004A0CCD">
        <w:rPr>
          <w:sz w:val="26"/>
          <w:szCs w:val="26"/>
        </w:rPr>
        <w:t>that were consolidated for oral argument.</w:t>
      </w:r>
    </w:p>
    <w:p w14:paraId="55497152" w14:textId="77777777" w:rsidR="0081088C" w:rsidRPr="004A0CCD" w:rsidRDefault="0081088C" w:rsidP="0081088C">
      <w:pPr>
        <w:jc w:val="both"/>
        <w:rPr>
          <w:sz w:val="26"/>
          <w:szCs w:val="26"/>
        </w:rPr>
      </w:pPr>
    </w:p>
    <w:p w14:paraId="7D8D344C" w14:textId="77777777" w:rsidR="0081088C" w:rsidRPr="004A0CCD" w:rsidRDefault="0081088C" w:rsidP="0081088C">
      <w:pPr>
        <w:jc w:val="both"/>
        <w:rPr>
          <w:sz w:val="26"/>
          <w:szCs w:val="26"/>
        </w:rPr>
      </w:pPr>
      <w:r w:rsidRPr="004A0CCD">
        <w:rPr>
          <w:sz w:val="26"/>
          <w:szCs w:val="26"/>
        </w:rPr>
        <w:t>Justice Lehrmann concurred,</w:t>
      </w:r>
      <w:r>
        <w:rPr>
          <w:sz w:val="26"/>
          <w:szCs w:val="26"/>
        </w:rPr>
        <w:t xml:space="preserve"> </w:t>
      </w:r>
      <w:r w:rsidRPr="004A0CCD">
        <w:rPr>
          <w:sz w:val="26"/>
          <w:szCs w:val="26"/>
        </w:rPr>
        <w:t>noting her view that the Governor’s authority to balance competing concerns</w:t>
      </w:r>
      <w:r>
        <w:rPr>
          <w:sz w:val="26"/>
          <w:szCs w:val="26"/>
        </w:rPr>
        <w:t xml:space="preserve"> </w:t>
      </w:r>
      <w:r w:rsidRPr="004A0CCD">
        <w:rPr>
          <w:sz w:val="26"/>
          <w:szCs w:val="26"/>
        </w:rPr>
        <w:t>when responding to a disaster comes</w:t>
      </w:r>
      <w:r>
        <w:rPr>
          <w:sz w:val="26"/>
          <w:szCs w:val="26"/>
        </w:rPr>
        <w:t xml:space="preserve"> </w:t>
      </w:r>
      <w:r w:rsidRPr="004A0CCD">
        <w:rPr>
          <w:sz w:val="26"/>
          <w:szCs w:val="26"/>
        </w:rPr>
        <w:t>from the Disaster Act itself.</w:t>
      </w:r>
    </w:p>
    <w:p w14:paraId="2D1C3BD3" w14:textId="77777777" w:rsidR="0081088C" w:rsidRDefault="0081088C" w:rsidP="0081088C">
      <w:pPr>
        <w:jc w:val="both"/>
        <w:rPr>
          <w:sz w:val="26"/>
          <w:szCs w:val="26"/>
        </w:rPr>
      </w:pPr>
    </w:p>
    <w:p w14:paraId="71509A23" w14:textId="77777777" w:rsidR="0081088C" w:rsidRDefault="0081088C" w:rsidP="0081088C">
      <w:pPr>
        <w:jc w:val="both"/>
        <w:rPr>
          <w:sz w:val="26"/>
          <w:szCs w:val="26"/>
        </w:rPr>
      </w:pPr>
    </w:p>
    <w:p w14:paraId="2F2FDD01" w14:textId="77777777" w:rsidR="0081088C" w:rsidRPr="00770F3F" w:rsidRDefault="0081088C" w:rsidP="0081088C">
      <w:pPr>
        <w:jc w:val="both"/>
        <w:rPr>
          <w:b/>
          <w:bCs/>
          <w:sz w:val="26"/>
          <w:szCs w:val="26"/>
        </w:rPr>
      </w:pPr>
      <w:r w:rsidRPr="00770F3F">
        <w:rPr>
          <w:b/>
          <w:bCs/>
          <w:sz w:val="26"/>
          <w:szCs w:val="26"/>
        </w:rPr>
        <w:t xml:space="preserve">GOVERNMENTAL IMMUNITY </w:t>
      </w:r>
    </w:p>
    <w:p w14:paraId="5A3E308D" w14:textId="77777777" w:rsidR="0081088C" w:rsidRDefault="0081088C" w:rsidP="0081088C">
      <w:pPr>
        <w:jc w:val="both"/>
        <w:rPr>
          <w:sz w:val="26"/>
          <w:szCs w:val="26"/>
        </w:rPr>
      </w:pPr>
    </w:p>
    <w:p w14:paraId="1ED96C1D" w14:textId="77777777" w:rsidR="0081088C" w:rsidRDefault="0081088C" w:rsidP="0081088C">
      <w:pPr>
        <w:jc w:val="both"/>
        <w:rPr>
          <w:sz w:val="26"/>
          <w:szCs w:val="26"/>
        </w:rPr>
      </w:pPr>
      <w:r w:rsidRPr="00770F3F">
        <w:rPr>
          <w:i/>
          <w:iCs/>
          <w:sz w:val="26"/>
          <w:szCs w:val="26"/>
        </w:rPr>
        <w:t>CPS Energy v. Elec. Reliability Council of Tex. and Elec.</w:t>
      </w:r>
      <w:r>
        <w:rPr>
          <w:i/>
          <w:iCs/>
          <w:sz w:val="26"/>
          <w:szCs w:val="26"/>
        </w:rPr>
        <w:t xml:space="preserve"> </w:t>
      </w:r>
      <w:r w:rsidRPr="00770F3F">
        <w:rPr>
          <w:i/>
          <w:iCs/>
          <w:sz w:val="26"/>
          <w:szCs w:val="26"/>
        </w:rPr>
        <w:t>Reliability Council of Tex.,</w:t>
      </w:r>
      <w:r>
        <w:rPr>
          <w:i/>
          <w:iCs/>
          <w:sz w:val="26"/>
          <w:szCs w:val="26"/>
        </w:rPr>
        <w:t xml:space="preserve"> </w:t>
      </w:r>
      <w:r w:rsidRPr="00770F3F">
        <w:rPr>
          <w:i/>
          <w:iCs/>
          <w:sz w:val="26"/>
          <w:szCs w:val="26"/>
        </w:rPr>
        <w:t>Inc. v. Panda Power Generation Infrastructure Fund</w:t>
      </w:r>
      <w:r>
        <w:rPr>
          <w:i/>
          <w:iCs/>
          <w:sz w:val="26"/>
          <w:szCs w:val="26"/>
        </w:rPr>
        <w:t xml:space="preserve"> </w:t>
      </w:r>
      <w:r w:rsidRPr="00770F3F">
        <w:rPr>
          <w:i/>
          <w:iCs/>
          <w:sz w:val="26"/>
          <w:szCs w:val="26"/>
        </w:rPr>
        <w:t xml:space="preserve">LLC, </w:t>
      </w:r>
      <w:r w:rsidRPr="00770F3F">
        <w:rPr>
          <w:sz w:val="26"/>
          <w:szCs w:val="26"/>
        </w:rPr>
        <w:t>___ S.W.3d ___, 22-0056, 22-0196</w:t>
      </w:r>
      <w:r>
        <w:rPr>
          <w:sz w:val="26"/>
          <w:szCs w:val="26"/>
        </w:rPr>
        <w:t xml:space="preserve">, </w:t>
      </w:r>
      <w:r w:rsidRPr="00770F3F">
        <w:rPr>
          <w:sz w:val="26"/>
          <w:szCs w:val="26"/>
        </w:rPr>
        <w:t>2023</w:t>
      </w:r>
      <w:r>
        <w:rPr>
          <w:sz w:val="26"/>
          <w:szCs w:val="26"/>
        </w:rPr>
        <w:t xml:space="preserve"> </w:t>
      </w:r>
      <w:r w:rsidRPr="00770F3F">
        <w:rPr>
          <w:sz w:val="26"/>
          <w:szCs w:val="26"/>
        </w:rPr>
        <w:t>WL 4140460 (Tex. June 23,</w:t>
      </w:r>
      <w:r>
        <w:rPr>
          <w:sz w:val="26"/>
          <w:szCs w:val="26"/>
        </w:rPr>
        <w:t xml:space="preserve"> </w:t>
      </w:r>
      <w:r w:rsidRPr="00770F3F">
        <w:rPr>
          <w:sz w:val="26"/>
          <w:szCs w:val="26"/>
        </w:rPr>
        <w:t xml:space="preserve">2023) </w:t>
      </w:r>
    </w:p>
    <w:p w14:paraId="161554AD" w14:textId="77777777" w:rsidR="0081088C" w:rsidRPr="00770F3F" w:rsidRDefault="0081088C" w:rsidP="0081088C">
      <w:pPr>
        <w:jc w:val="both"/>
        <w:rPr>
          <w:sz w:val="26"/>
          <w:szCs w:val="26"/>
        </w:rPr>
      </w:pPr>
    </w:p>
    <w:p w14:paraId="4B5E36E8" w14:textId="77777777" w:rsidR="0081088C" w:rsidRDefault="0081088C" w:rsidP="0081088C">
      <w:pPr>
        <w:jc w:val="both"/>
        <w:rPr>
          <w:sz w:val="26"/>
          <w:szCs w:val="26"/>
        </w:rPr>
      </w:pPr>
      <w:r>
        <w:rPr>
          <w:sz w:val="26"/>
          <w:szCs w:val="26"/>
        </w:rPr>
        <w:t>In this much anticipated case arising from the blackouts during the Texas freeze in 2021, t</w:t>
      </w:r>
      <w:r w:rsidRPr="00770F3F">
        <w:rPr>
          <w:sz w:val="26"/>
          <w:szCs w:val="26"/>
        </w:rPr>
        <w:t xml:space="preserve">he main issue </w:t>
      </w:r>
      <w:r>
        <w:rPr>
          <w:sz w:val="26"/>
          <w:szCs w:val="26"/>
        </w:rPr>
        <w:t xml:space="preserve">was </w:t>
      </w:r>
      <w:r w:rsidRPr="00770F3F">
        <w:rPr>
          <w:sz w:val="26"/>
          <w:szCs w:val="26"/>
        </w:rPr>
        <w:t>whether ERCOT is entitled to sovereign immunity.</w:t>
      </w:r>
      <w:r>
        <w:rPr>
          <w:sz w:val="26"/>
          <w:szCs w:val="26"/>
        </w:rPr>
        <w:t xml:space="preserve"> </w:t>
      </w:r>
      <w:r w:rsidRPr="00770F3F">
        <w:rPr>
          <w:sz w:val="26"/>
          <w:szCs w:val="26"/>
        </w:rPr>
        <w:t xml:space="preserve">In </w:t>
      </w:r>
      <w:r w:rsidRPr="007B50EA">
        <w:rPr>
          <w:i/>
          <w:iCs/>
          <w:sz w:val="26"/>
          <w:szCs w:val="26"/>
        </w:rPr>
        <w:t>CPS</w:t>
      </w:r>
      <w:r w:rsidRPr="00770F3F">
        <w:rPr>
          <w:sz w:val="26"/>
          <w:szCs w:val="26"/>
        </w:rPr>
        <w:t>, CPS sued ERCOT for</w:t>
      </w:r>
      <w:r>
        <w:rPr>
          <w:sz w:val="26"/>
          <w:szCs w:val="26"/>
        </w:rPr>
        <w:t xml:space="preserve"> </w:t>
      </w:r>
      <w:r w:rsidRPr="00770F3F">
        <w:rPr>
          <w:sz w:val="26"/>
          <w:szCs w:val="26"/>
        </w:rPr>
        <w:t>breach of contract and other claims, alleging that ERCOT unlawfully short</w:t>
      </w:r>
      <w:r>
        <w:rPr>
          <w:sz w:val="26"/>
          <w:szCs w:val="26"/>
        </w:rPr>
        <w:t>-</w:t>
      </w:r>
      <w:r w:rsidRPr="00770F3F">
        <w:rPr>
          <w:sz w:val="26"/>
          <w:szCs w:val="26"/>
        </w:rPr>
        <w:t>paid CPS to offset losses suffered after</w:t>
      </w:r>
      <w:r>
        <w:rPr>
          <w:sz w:val="26"/>
          <w:szCs w:val="26"/>
        </w:rPr>
        <w:t xml:space="preserve"> </w:t>
      </w:r>
      <w:r w:rsidRPr="00770F3F">
        <w:rPr>
          <w:sz w:val="26"/>
          <w:szCs w:val="26"/>
        </w:rPr>
        <w:t>Winter Storm Uri caused some wholesale market participants defaulted on</w:t>
      </w:r>
      <w:r>
        <w:rPr>
          <w:sz w:val="26"/>
          <w:szCs w:val="26"/>
        </w:rPr>
        <w:t xml:space="preserve"> </w:t>
      </w:r>
      <w:r w:rsidRPr="00770F3F">
        <w:rPr>
          <w:sz w:val="26"/>
          <w:szCs w:val="26"/>
        </w:rPr>
        <w:t>their payment obligations to ERCOT.</w:t>
      </w:r>
      <w:r>
        <w:rPr>
          <w:sz w:val="26"/>
          <w:szCs w:val="26"/>
        </w:rPr>
        <w:t xml:space="preserve"> </w:t>
      </w:r>
      <w:r w:rsidRPr="00770F3F">
        <w:rPr>
          <w:sz w:val="26"/>
          <w:szCs w:val="26"/>
        </w:rPr>
        <w:t>ERCOT filed a plea to the jurisdiction,</w:t>
      </w:r>
      <w:r>
        <w:rPr>
          <w:sz w:val="26"/>
          <w:szCs w:val="26"/>
        </w:rPr>
        <w:t xml:space="preserve"> </w:t>
      </w:r>
      <w:r w:rsidRPr="00770F3F">
        <w:rPr>
          <w:sz w:val="26"/>
          <w:szCs w:val="26"/>
        </w:rPr>
        <w:t>asserting sovereign immunity and, alternatively, that the Public Utility</w:t>
      </w:r>
      <w:r>
        <w:rPr>
          <w:sz w:val="26"/>
          <w:szCs w:val="26"/>
        </w:rPr>
        <w:t xml:space="preserve"> </w:t>
      </w:r>
      <w:r w:rsidRPr="00770F3F">
        <w:rPr>
          <w:sz w:val="26"/>
          <w:szCs w:val="26"/>
        </w:rPr>
        <w:t>Commission had exclusive jurisdiction.</w:t>
      </w:r>
    </w:p>
    <w:p w14:paraId="786D35C0" w14:textId="77777777" w:rsidR="0081088C" w:rsidRPr="00770F3F" w:rsidRDefault="0081088C" w:rsidP="0081088C">
      <w:pPr>
        <w:jc w:val="both"/>
        <w:rPr>
          <w:sz w:val="26"/>
          <w:szCs w:val="26"/>
        </w:rPr>
      </w:pPr>
    </w:p>
    <w:p w14:paraId="10B3EDEE" w14:textId="77777777" w:rsidR="0081088C" w:rsidRDefault="0081088C" w:rsidP="0081088C">
      <w:pPr>
        <w:jc w:val="both"/>
        <w:rPr>
          <w:sz w:val="26"/>
          <w:szCs w:val="26"/>
        </w:rPr>
      </w:pPr>
      <w:r w:rsidRPr="00770F3F">
        <w:rPr>
          <w:sz w:val="26"/>
          <w:szCs w:val="26"/>
        </w:rPr>
        <w:t>The trial court denied the plea, and the</w:t>
      </w:r>
      <w:r>
        <w:rPr>
          <w:sz w:val="26"/>
          <w:szCs w:val="26"/>
        </w:rPr>
        <w:t xml:space="preserve"> </w:t>
      </w:r>
      <w:r w:rsidRPr="00770F3F">
        <w:rPr>
          <w:sz w:val="26"/>
          <w:szCs w:val="26"/>
        </w:rPr>
        <w:t>court of appeals reversed and dismissed the claims for lack of jurisdiction.</w:t>
      </w:r>
      <w:r>
        <w:rPr>
          <w:sz w:val="26"/>
          <w:szCs w:val="26"/>
        </w:rPr>
        <w:t xml:space="preserve"> </w:t>
      </w:r>
    </w:p>
    <w:p w14:paraId="61BB7B95" w14:textId="77777777" w:rsidR="0081088C" w:rsidRDefault="0081088C" w:rsidP="0081088C">
      <w:pPr>
        <w:jc w:val="both"/>
        <w:rPr>
          <w:sz w:val="26"/>
          <w:szCs w:val="26"/>
        </w:rPr>
      </w:pPr>
    </w:p>
    <w:p w14:paraId="7080DED7" w14:textId="77777777" w:rsidR="0081088C" w:rsidRDefault="0081088C" w:rsidP="0081088C">
      <w:pPr>
        <w:jc w:val="both"/>
        <w:rPr>
          <w:sz w:val="26"/>
          <w:szCs w:val="26"/>
        </w:rPr>
      </w:pPr>
      <w:r w:rsidRPr="00770F3F">
        <w:rPr>
          <w:sz w:val="26"/>
          <w:szCs w:val="26"/>
        </w:rPr>
        <w:t xml:space="preserve">In </w:t>
      </w:r>
      <w:r w:rsidRPr="007B50EA">
        <w:rPr>
          <w:i/>
          <w:iCs/>
          <w:sz w:val="26"/>
          <w:szCs w:val="26"/>
        </w:rPr>
        <w:t>Panda</w:t>
      </w:r>
      <w:r w:rsidRPr="00770F3F">
        <w:rPr>
          <w:sz w:val="26"/>
          <w:szCs w:val="26"/>
        </w:rPr>
        <w:t>, Panda sued for fraud</w:t>
      </w:r>
      <w:r>
        <w:rPr>
          <w:sz w:val="26"/>
          <w:szCs w:val="26"/>
        </w:rPr>
        <w:t xml:space="preserve"> </w:t>
      </w:r>
      <w:r w:rsidRPr="00770F3F">
        <w:rPr>
          <w:sz w:val="26"/>
          <w:szCs w:val="26"/>
        </w:rPr>
        <w:t>and other claims, claiming that ERCOT fraudulently projected a severe</w:t>
      </w:r>
      <w:r>
        <w:rPr>
          <w:sz w:val="26"/>
          <w:szCs w:val="26"/>
        </w:rPr>
        <w:t xml:space="preserve"> </w:t>
      </w:r>
      <w:r w:rsidRPr="00770F3F">
        <w:rPr>
          <w:sz w:val="26"/>
          <w:szCs w:val="26"/>
        </w:rPr>
        <w:t>electricity shortfall when in fact there</w:t>
      </w:r>
      <w:r>
        <w:rPr>
          <w:sz w:val="26"/>
          <w:szCs w:val="26"/>
        </w:rPr>
        <w:t xml:space="preserve"> </w:t>
      </w:r>
      <w:r w:rsidRPr="00770F3F">
        <w:rPr>
          <w:sz w:val="26"/>
          <w:szCs w:val="26"/>
        </w:rPr>
        <w:t>would b</w:t>
      </w:r>
      <w:r>
        <w:rPr>
          <w:sz w:val="26"/>
          <w:szCs w:val="26"/>
        </w:rPr>
        <w:t>e</w:t>
      </w:r>
      <w:r w:rsidRPr="00770F3F">
        <w:rPr>
          <w:sz w:val="26"/>
          <w:szCs w:val="26"/>
        </w:rPr>
        <w:t xml:space="preserve"> an excess of supply and that</w:t>
      </w:r>
      <w:r>
        <w:rPr>
          <w:sz w:val="26"/>
          <w:szCs w:val="26"/>
        </w:rPr>
        <w:t xml:space="preserve"> </w:t>
      </w:r>
      <w:r w:rsidRPr="00770F3F">
        <w:rPr>
          <w:sz w:val="26"/>
          <w:szCs w:val="26"/>
        </w:rPr>
        <w:t>Panda relied on ERCOT’s reports when</w:t>
      </w:r>
      <w:r>
        <w:rPr>
          <w:sz w:val="26"/>
          <w:szCs w:val="26"/>
        </w:rPr>
        <w:t xml:space="preserve"> </w:t>
      </w:r>
      <w:r w:rsidRPr="00770F3F">
        <w:rPr>
          <w:sz w:val="26"/>
          <w:szCs w:val="26"/>
        </w:rPr>
        <w:t>it decided to construct new power</w:t>
      </w:r>
      <w:r>
        <w:rPr>
          <w:sz w:val="26"/>
          <w:szCs w:val="26"/>
        </w:rPr>
        <w:t xml:space="preserve"> </w:t>
      </w:r>
      <w:r w:rsidRPr="00770F3F">
        <w:rPr>
          <w:sz w:val="26"/>
          <w:szCs w:val="26"/>
        </w:rPr>
        <w:t>plants. ERCOT filed a plea to the jurisdiction asserting sovereign immunity</w:t>
      </w:r>
      <w:r>
        <w:rPr>
          <w:sz w:val="26"/>
          <w:szCs w:val="26"/>
        </w:rPr>
        <w:t xml:space="preserve"> </w:t>
      </w:r>
      <w:r w:rsidRPr="00770F3F">
        <w:rPr>
          <w:sz w:val="26"/>
          <w:szCs w:val="26"/>
        </w:rPr>
        <w:t>and that the PUC had exclusive jurisdiction. The trial court granted the</w:t>
      </w:r>
      <w:r>
        <w:rPr>
          <w:sz w:val="26"/>
          <w:szCs w:val="26"/>
        </w:rPr>
        <w:t xml:space="preserve"> </w:t>
      </w:r>
      <w:r w:rsidRPr="00770F3F">
        <w:rPr>
          <w:sz w:val="26"/>
          <w:szCs w:val="26"/>
        </w:rPr>
        <w:t>plea. Sitting en banc, the court of appeals reversed.</w:t>
      </w:r>
      <w:r>
        <w:rPr>
          <w:sz w:val="26"/>
          <w:szCs w:val="26"/>
        </w:rPr>
        <w:t xml:space="preserve"> </w:t>
      </w:r>
    </w:p>
    <w:p w14:paraId="1AF1C489" w14:textId="77777777" w:rsidR="0081088C" w:rsidRDefault="0081088C" w:rsidP="0081088C">
      <w:pPr>
        <w:jc w:val="both"/>
        <w:rPr>
          <w:sz w:val="26"/>
          <w:szCs w:val="26"/>
        </w:rPr>
      </w:pPr>
    </w:p>
    <w:p w14:paraId="480D7AEF" w14:textId="77777777" w:rsidR="0081088C" w:rsidRDefault="0081088C" w:rsidP="0081088C">
      <w:pPr>
        <w:jc w:val="both"/>
        <w:rPr>
          <w:sz w:val="26"/>
          <w:szCs w:val="26"/>
        </w:rPr>
      </w:pPr>
      <w:r w:rsidRPr="00770F3F">
        <w:rPr>
          <w:sz w:val="26"/>
          <w:szCs w:val="26"/>
        </w:rPr>
        <w:t>In an opinion by Chief Justice</w:t>
      </w:r>
      <w:r>
        <w:rPr>
          <w:sz w:val="26"/>
          <w:szCs w:val="26"/>
        </w:rPr>
        <w:t xml:space="preserve"> </w:t>
      </w:r>
      <w:r w:rsidRPr="00770F3F">
        <w:rPr>
          <w:sz w:val="26"/>
          <w:szCs w:val="26"/>
        </w:rPr>
        <w:t>Hecht, the Supreme Court rendered</w:t>
      </w:r>
      <w:r>
        <w:rPr>
          <w:sz w:val="26"/>
          <w:szCs w:val="26"/>
        </w:rPr>
        <w:t xml:space="preserve"> </w:t>
      </w:r>
      <w:r w:rsidRPr="00770F3F">
        <w:rPr>
          <w:sz w:val="26"/>
          <w:szCs w:val="26"/>
        </w:rPr>
        <w:t>judgment for ERCOT in both cases. After concluding that ERCOT is a “governmental unit” entitled to an interlocutory appeal, the Court held that ERCOT is entitled to sovereign immunity.</w:t>
      </w:r>
      <w:r>
        <w:rPr>
          <w:sz w:val="26"/>
          <w:szCs w:val="26"/>
        </w:rPr>
        <w:t xml:space="preserve"> </w:t>
      </w:r>
    </w:p>
    <w:p w14:paraId="48320162" w14:textId="77777777" w:rsidR="0081088C" w:rsidRDefault="0081088C" w:rsidP="0081088C">
      <w:pPr>
        <w:jc w:val="both"/>
        <w:rPr>
          <w:sz w:val="26"/>
          <w:szCs w:val="26"/>
        </w:rPr>
      </w:pPr>
    </w:p>
    <w:p w14:paraId="416BEF48" w14:textId="77777777" w:rsidR="0081088C" w:rsidRPr="00770F3F" w:rsidRDefault="0081088C" w:rsidP="0081088C">
      <w:pPr>
        <w:jc w:val="both"/>
        <w:rPr>
          <w:sz w:val="26"/>
          <w:szCs w:val="26"/>
        </w:rPr>
      </w:pPr>
      <w:r>
        <w:rPr>
          <w:sz w:val="26"/>
          <w:szCs w:val="26"/>
        </w:rPr>
        <w:t>In this 5-4 opinion, t</w:t>
      </w:r>
      <w:r w:rsidRPr="00770F3F">
        <w:rPr>
          <w:sz w:val="26"/>
          <w:szCs w:val="26"/>
        </w:rPr>
        <w:t>he Court held that ERCOT is an “arm of the State” because,</w:t>
      </w:r>
      <w:r>
        <w:rPr>
          <w:sz w:val="26"/>
          <w:szCs w:val="26"/>
        </w:rPr>
        <w:t xml:space="preserve"> </w:t>
      </w:r>
      <w:r w:rsidRPr="00770F3F">
        <w:rPr>
          <w:sz w:val="26"/>
          <w:szCs w:val="26"/>
        </w:rPr>
        <w:t>pursuant to the Utility Code, ERCOT</w:t>
      </w:r>
      <w:r>
        <w:rPr>
          <w:sz w:val="26"/>
          <w:szCs w:val="26"/>
        </w:rPr>
        <w:t xml:space="preserve"> </w:t>
      </w:r>
      <w:r w:rsidRPr="00770F3F">
        <w:rPr>
          <w:sz w:val="26"/>
          <w:szCs w:val="26"/>
        </w:rPr>
        <w:t>operates under the direct control and</w:t>
      </w:r>
      <w:r>
        <w:rPr>
          <w:sz w:val="26"/>
          <w:szCs w:val="26"/>
        </w:rPr>
        <w:t xml:space="preserve"> </w:t>
      </w:r>
      <w:r w:rsidRPr="00770F3F">
        <w:rPr>
          <w:sz w:val="26"/>
          <w:szCs w:val="26"/>
        </w:rPr>
        <w:t>oversight of the PUC, it performs the</w:t>
      </w:r>
      <w:r>
        <w:rPr>
          <w:sz w:val="26"/>
          <w:szCs w:val="26"/>
        </w:rPr>
        <w:t xml:space="preserve"> </w:t>
      </w:r>
      <w:r w:rsidRPr="00770F3F">
        <w:rPr>
          <w:sz w:val="26"/>
          <w:szCs w:val="26"/>
        </w:rPr>
        <w:t>governmental function of utilities regulation, and it possesses the power to</w:t>
      </w:r>
      <w:r>
        <w:rPr>
          <w:sz w:val="26"/>
          <w:szCs w:val="26"/>
        </w:rPr>
        <w:t xml:space="preserve"> </w:t>
      </w:r>
      <w:r w:rsidRPr="00770F3F">
        <w:rPr>
          <w:sz w:val="26"/>
          <w:szCs w:val="26"/>
        </w:rPr>
        <w:t>adopt and enforce rules. The Court further held that recognizing immunity</w:t>
      </w:r>
      <w:r>
        <w:rPr>
          <w:sz w:val="26"/>
          <w:szCs w:val="26"/>
        </w:rPr>
        <w:t xml:space="preserve"> </w:t>
      </w:r>
      <w:r w:rsidRPr="00770F3F">
        <w:rPr>
          <w:sz w:val="26"/>
          <w:szCs w:val="26"/>
        </w:rPr>
        <w:t>satisfies the policies underlying immunity because it prevents the disruption of key governmental services, protects public funds, and respects separation of powers principles. The Court</w:t>
      </w:r>
      <w:r>
        <w:rPr>
          <w:sz w:val="26"/>
          <w:szCs w:val="26"/>
        </w:rPr>
        <w:t xml:space="preserve"> </w:t>
      </w:r>
      <w:r w:rsidRPr="00770F3F">
        <w:rPr>
          <w:sz w:val="26"/>
          <w:szCs w:val="26"/>
        </w:rPr>
        <w:t>also held that the PUC has exclusive</w:t>
      </w:r>
      <w:r>
        <w:rPr>
          <w:sz w:val="26"/>
          <w:szCs w:val="26"/>
        </w:rPr>
        <w:t xml:space="preserve"> </w:t>
      </w:r>
      <w:r w:rsidRPr="00770F3F">
        <w:rPr>
          <w:sz w:val="26"/>
          <w:szCs w:val="26"/>
        </w:rPr>
        <w:t>jurisdiction.</w:t>
      </w:r>
    </w:p>
    <w:p w14:paraId="64C77F76" w14:textId="77777777" w:rsidR="0081088C" w:rsidRPr="00770F3F" w:rsidRDefault="0081088C" w:rsidP="0081088C">
      <w:pPr>
        <w:jc w:val="both"/>
        <w:rPr>
          <w:sz w:val="26"/>
          <w:szCs w:val="26"/>
        </w:rPr>
      </w:pPr>
      <w:r w:rsidRPr="00770F3F">
        <w:rPr>
          <w:sz w:val="26"/>
          <w:szCs w:val="26"/>
        </w:rPr>
        <w:t>Justice Boyd and Justice Devine</w:t>
      </w:r>
      <w:r>
        <w:rPr>
          <w:sz w:val="26"/>
          <w:szCs w:val="26"/>
        </w:rPr>
        <w:t xml:space="preserve"> </w:t>
      </w:r>
      <w:r w:rsidRPr="00770F3F">
        <w:rPr>
          <w:sz w:val="26"/>
          <w:szCs w:val="26"/>
        </w:rPr>
        <w:t xml:space="preserve">filed a jointly authored </w:t>
      </w:r>
      <w:r w:rsidRPr="007B50EA">
        <w:rPr>
          <w:i/>
          <w:iCs/>
          <w:sz w:val="26"/>
          <w:szCs w:val="26"/>
        </w:rPr>
        <w:t>dissenting</w:t>
      </w:r>
      <w:r w:rsidRPr="00770F3F">
        <w:rPr>
          <w:sz w:val="26"/>
          <w:szCs w:val="26"/>
        </w:rPr>
        <w:t xml:space="preserve"> opinion, joined by </w:t>
      </w:r>
      <w:r w:rsidRPr="007B50EA">
        <w:rPr>
          <w:i/>
          <w:iCs/>
          <w:sz w:val="26"/>
          <w:szCs w:val="26"/>
        </w:rPr>
        <w:t>two</w:t>
      </w:r>
      <w:r w:rsidRPr="00770F3F">
        <w:rPr>
          <w:sz w:val="26"/>
          <w:szCs w:val="26"/>
        </w:rPr>
        <w:t xml:space="preserve"> other justices. They</w:t>
      </w:r>
      <w:r>
        <w:rPr>
          <w:sz w:val="26"/>
          <w:szCs w:val="26"/>
        </w:rPr>
        <w:t xml:space="preserve"> </w:t>
      </w:r>
      <w:r w:rsidRPr="00770F3F">
        <w:rPr>
          <w:sz w:val="26"/>
          <w:szCs w:val="26"/>
        </w:rPr>
        <w:t>agreed that ERCOT is a governmental</w:t>
      </w:r>
      <w:r>
        <w:rPr>
          <w:sz w:val="26"/>
          <w:szCs w:val="26"/>
        </w:rPr>
        <w:t xml:space="preserve"> </w:t>
      </w:r>
      <w:r w:rsidRPr="00770F3F">
        <w:rPr>
          <w:sz w:val="26"/>
          <w:szCs w:val="26"/>
        </w:rPr>
        <w:t>unit, and that the PUC has exclusive jurisdiction, but they would have held</w:t>
      </w:r>
      <w:r>
        <w:rPr>
          <w:sz w:val="26"/>
          <w:szCs w:val="26"/>
        </w:rPr>
        <w:t xml:space="preserve"> </w:t>
      </w:r>
      <w:r w:rsidRPr="00770F3F">
        <w:rPr>
          <w:sz w:val="26"/>
          <w:szCs w:val="26"/>
        </w:rPr>
        <w:t>that ERCOT is not entitled to sovereign</w:t>
      </w:r>
    </w:p>
    <w:p w14:paraId="5471B7B2" w14:textId="77777777" w:rsidR="0081088C" w:rsidRDefault="0081088C" w:rsidP="0081088C">
      <w:pPr>
        <w:jc w:val="both"/>
        <w:rPr>
          <w:sz w:val="26"/>
          <w:szCs w:val="26"/>
        </w:rPr>
      </w:pPr>
      <w:r w:rsidRPr="00770F3F">
        <w:rPr>
          <w:sz w:val="26"/>
          <w:szCs w:val="26"/>
        </w:rPr>
        <w:t>immunity.</w:t>
      </w:r>
    </w:p>
    <w:p w14:paraId="29A0FBBC" w14:textId="77777777" w:rsidR="0081088C" w:rsidRDefault="0081088C" w:rsidP="0081088C">
      <w:pPr>
        <w:jc w:val="both"/>
        <w:rPr>
          <w:sz w:val="26"/>
          <w:szCs w:val="26"/>
        </w:rPr>
      </w:pPr>
    </w:p>
    <w:p w14:paraId="1FE62D7F" w14:textId="77777777" w:rsidR="0081088C" w:rsidRDefault="0081088C" w:rsidP="0081088C">
      <w:pPr>
        <w:jc w:val="both"/>
        <w:rPr>
          <w:sz w:val="26"/>
          <w:szCs w:val="26"/>
        </w:rPr>
      </w:pPr>
      <w:r w:rsidRPr="007B50EA">
        <w:rPr>
          <w:i/>
          <w:iCs/>
          <w:sz w:val="26"/>
          <w:szCs w:val="26"/>
        </w:rPr>
        <w:t>City of League City v. Jimmy</w:t>
      </w:r>
      <w:r>
        <w:rPr>
          <w:i/>
          <w:iCs/>
          <w:sz w:val="26"/>
          <w:szCs w:val="26"/>
        </w:rPr>
        <w:t xml:space="preserve"> </w:t>
      </w:r>
      <w:r w:rsidRPr="007B50EA">
        <w:rPr>
          <w:i/>
          <w:iCs/>
          <w:sz w:val="26"/>
          <w:szCs w:val="26"/>
        </w:rPr>
        <w:t>Changas, Inc</w:t>
      </w:r>
      <w:r w:rsidRPr="007B50EA">
        <w:rPr>
          <w:sz w:val="26"/>
          <w:szCs w:val="26"/>
        </w:rPr>
        <w:t>., ___ S.W.3d</w:t>
      </w:r>
      <w:r>
        <w:rPr>
          <w:sz w:val="26"/>
          <w:szCs w:val="26"/>
        </w:rPr>
        <w:t xml:space="preserve"> </w:t>
      </w:r>
      <w:r w:rsidRPr="007B50EA">
        <w:rPr>
          <w:sz w:val="26"/>
          <w:szCs w:val="26"/>
        </w:rPr>
        <w:t>___, 21-0307</w:t>
      </w:r>
      <w:r>
        <w:rPr>
          <w:sz w:val="26"/>
          <w:szCs w:val="26"/>
        </w:rPr>
        <w:t xml:space="preserve">, </w:t>
      </w:r>
      <w:r w:rsidRPr="007B50EA">
        <w:rPr>
          <w:sz w:val="26"/>
          <w:szCs w:val="26"/>
        </w:rPr>
        <w:t>2023 WL 3909986 (Tex.</w:t>
      </w:r>
      <w:r>
        <w:rPr>
          <w:sz w:val="26"/>
          <w:szCs w:val="26"/>
        </w:rPr>
        <w:t xml:space="preserve"> </w:t>
      </w:r>
      <w:r w:rsidRPr="007B50EA">
        <w:rPr>
          <w:sz w:val="26"/>
          <w:szCs w:val="26"/>
        </w:rPr>
        <w:t xml:space="preserve">June 9, 2023) </w:t>
      </w:r>
    </w:p>
    <w:p w14:paraId="5C6C1E94" w14:textId="77777777" w:rsidR="0081088C" w:rsidRDefault="0081088C" w:rsidP="0081088C">
      <w:pPr>
        <w:jc w:val="both"/>
        <w:rPr>
          <w:sz w:val="26"/>
          <w:szCs w:val="26"/>
        </w:rPr>
      </w:pPr>
    </w:p>
    <w:p w14:paraId="3ADDEB82" w14:textId="77777777" w:rsidR="0081088C" w:rsidRDefault="0081088C" w:rsidP="0081088C">
      <w:pPr>
        <w:jc w:val="both"/>
        <w:rPr>
          <w:sz w:val="26"/>
          <w:szCs w:val="26"/>
        </w:rPr>
      </w:pPr>
      <w:r w:rsidRPr="007B50EA">
        <w:rPr>
          <w:sz w:val="26"/>
          <w:szCs w:val="26"/>
        </w:rPr>
        <w:t>This case involves the governmental</w:t>
      </w:r>
      <w:r>
        <w:rPr>
          <w:sz w:val="26"/>
          <w:szCs w:val="26"/>
        </w:rPr>
        <w:t xml:space="preserve"> function</w:t>
      </w:r>
      <w:r w:rsidRPr="007B50EA">
        <w:rPr>
          <w:sz w:val="26"/>
          <w:szCs w:val="26"/>
        </w:rPr>
        <w:t>/proprietary</w:t>
      </w:r>
      <w:r>
        <w:rPr>
          <w:sz w:val="26"/>
          <w:szCs w:val="26"/>
        </w:rPr>
        <w:t xml:space="preserve"> function</w:t>
      </w:r>
      <w:r w:rsidRPr="007B50EA">
        <w:rPr>
          <w:sz w:val="26"/>
          <w:szCs w:val="26"/>
        </w:rPr>
        <w:t xml:space="preserve"> dichotomy in a</w:t>
      </w:r>
      <w:r>
        <w:rPr>
          <w:sz w:val="26"/>
          <w:szCs w:val="26"/>
        </w:rPr>
        <w:t xml:space="preserve"> </w:t>
      </w:r>
      <w:r w:rsidRPr="007B50EA">
        <w:rPr>
          <w:sz w:val="26"/>
          <w:szCs w:val="26"/>
        </w:rPr>
        <w:t>breach-of-contract context. League City</w:t>
      </w:r>
      <w:r>
        <w:rPr>
          <w:sz w:val="26"/>
          <w:szCs w:val="26"/>
        </w:rPr>
        <w:t xml:space="preserve"> </w:t>
      </w:r>
      <w:r w:rsidRPr="007B50EA">
        <w:rPr>
          <w:sz w:val="26"/>
          <w:szCs w:val="26"/>
        </w:rPr>
        <w:t>and Jimmy Changas entered into an</w:t>
      </w:r>
      <w:r>
        <w:rPr>
          <w:sz w:val="26"/>
          <w:szCs w:val="26"/>
        </w:rPr>
        <w:t xml:space="preserve"> </w:t>
      </w:r>
      <w:r w:rsidRPr="007B50EA">
        <w:rPr>
          <w:sz w:val="26"/>
          <w:szCs w:val="26"/>
        </w:rPr>
        <w:t>agreement under Chapter 380 of the</w:t>
      </w:r>
      <w:r>
        <w:rPr>
          <w:sz w:val="26"/>
          <w:szCs w:val="26"/>
        </w:rPr>
        <w:t xml:space="preserve"> </w:t>
      </w:r>
      <w:r w:rsidRPr="007B50EA">
        <w:rPr>
          <w:sz w:val="26"/>
          <w:szCs w:val="26"/>
        </w:rPr>
        <w:t>Texas Local Government Code, which</w:t>
      </w:r>
      <w:r>
        <w:rPr>
          <w:sz w:val="26"/>
          <w:szCs w:val="26"/>
        </w:rPr>
        <w:t xml:space="preserve"> </w:t>
      </w:r>
      <w:r w:rsidRPr="007B50EA">
        <w:rPr>
          <w:sz w:val="26"/>
          <w:szCs w:val="26"/>
        </w:rPr>
        <w:t>permits cities to provide economic-development incentives to stimulate commercial activity. The City agreed to reimburse Jimmy Changas for certain</w:t>
      </w:r>
      <w:r>
        <w:rPr>
          <w:sz w:val="26"/>
          <w:szCs w:val="26"/>
        </w:rPr>
        <w:t xml:space="preserve"> </w:t>
      </w:r>
      <w:r w:rsidRPr="007B50EA">
        <w:rPr>
          <w:sz w:val="26"/>
          <w:szCs w:val="26"/>
        </w:rPr>
        <w:t>fees and taxes if Jimmy Changas built</w:t>
      </w:r>
      <w:r>
        <w:rPr>
          <w:sz w:val="26"/>
          <w:szCs w:val="26"/>
        </w:rPr>
        <w:t xml:space="preserve"> </w:t>
      </w:r>
      <w:r w:rsidRPr="007B50EA">
        <w:rPr>
          <w:sz w:val="26"/>
          <w:szCs w:val="26"/>
        </w:rPr>
        <w:t>a restaurant and created jobs in</w:t>
      </w:r>
      <w:r>
        <w:rPr>
          <w:sz w:val="26"/>
          <w:szCs w:val="26"/>
        </w:rPr>
        <w:t xml:space="preserve"> </w:t>
      </w:r>
      <w:r w:rsidRPr="007B50EA">
        <w:rPr>
          <w:sz w:val="26"/>
          <w:szCs w:val="26"/>
        </w:rPr>
        <w:t>League City. After Jimmy Changas</w:t>
      </w:r>
      <w:r>
        <w:rPr>
          <w:sz w:val="26"/>
          <w:szCs w:val="26"/>
        </w:rPr>
        <w:t xml:space="preserve"> </w:t>
      </w:r>
      <w:r w:rsidRPr="007B50EA">
        <w:rPr>
          <w:sz w:val="26"/>
          <w:szCs w:val="26"/>
        </w:rPr>
        <w:t>completed the project, League City refused to provide the promised reimbursements, and Jimmy Changas sued.</w:t>
      </w:r>
      <w:r>
        <w:rPr>
          <w:sz w:val="26"/>
          <w:szCs w:val="26"/>
        </w:rPr>
        <w:t xml:space="preserve"> </w:t>
      </w:r>
      <w:r w:rsidRPr="007B50EA">
        <w:rPr>
          <w:sz w:val="26"/>
          <w:szCs w:val="26"/>
        </w:rPr>
        <w:t>The City filed a plea to the jurisdiction,</w:t>
      </w:r>
      <w:r>
        <w:rPr>
          <w:sz w:val="26"/>
          <w:szCs w:val="26"/>
        </w:rPr>
        <w:t xml:space="preserve"> </w:t>
      </w:r>
      <w:r w:rsidRPr="007B50EA">
        <w:rPr>
          <w:sz w:val="26"/>
          <w:szCs w:val="26"/>
        </w:rPr>
        <w:t>arguing that contracts made under</w:t>
      </w:r>
      <w:r>
        <w:rPr>
          <w:sz w:val="26"/>
          <w:szCs w:val="26"/>
        </w:rPr>
        <w:t xml:space="preserve"> </w:t>
      </w:r>
      <w:r w:rsidRPr="007B50EA">
        <w:rPr>
          <w:sz w:val="26"/>
          <w:szCs w:val="26"/>
        </w:rPr>
        <w:t>Chapter 380 were governmental functions and the City was therefore immune from suit. The trial court denied</w:t>
      </w:r>
      <w:r>
        <w:rPr>
          <w:sz w:val="26"/>
          <w:szCs w:val="26"/>
        </w:rPr>
        <w:t xml:space="preserve"> </w:t>
      </w:r>
      <w:r w:rsidRPr="007B50EA">
        <w:rPr>
          <w:sz w:val="26"/>
          <w:szCs w:val="26"/>
        </w:rPr>
        <w:t>the City’s plea, concluding that the City</w:t>
      </w:r>
      <w:r>
        <w:rPr>
          <w:sz w:val="26"/>
          <w:szCs w:val="26"/>
        </w:rPr>
        <w:t xml:space="preserve"> </w:t>
      </w:r>
      <w:r w:rsidRPr="007B50EA">
        <w:rPr>
          <w:sz w:val="26"/>
          <w:szCs w:val="26"/>
        </w:rPr>
        <w:t>acted in its proprietary capacity, and</w:t>
      </w:r>
      <w:r>
        <w:rPr>
          <w:sz w:val="26"/>
          <w:szCs w:val="26"/>
        </w:rPr>
        <w:t xml:space="preserve"> </w:t>
      </w:r>
      <w:r w:rsidRPr="007B50EA">
        <w:rPr>
          <w:sz w:val="26"/>
          <w:szCs w:val="26"/>
        </w:rPr>
        <w:t>the court of appeals affirmed.</w:t>
      </w:r>
    </w:p>
    <w:p w14:paraId="6EA0A899" w14:textId="77777777" w:rsidR="0081088C" w:rsidRPr="007B50EA" w:rsidRDefault="0081088C" w:rsidP="0081088C">
      <w:pPr>
        <w:jc w:val="both"/>
        <w:rPr>
          <w:sz w:val="26"/>
          <w:szCs w:val="26"/>
        </w:rPr>
      </w:pPr>
    </w:p>
    <w:p w14:paraId="2470F5A3" w14:textId="77777777" w:rsidR="0081088C" w:rsidRDefault="0081088C" w:rsidP="0081088C">
      <w:pPr>
        <w:jc w:val="both"/>
        <w:rPr>
          <w:sz w:val="26"/>
          <w:szCs w:val="26"/>
        </w:rPr>
      </w:pPr>
      <w:r w:rsidRPr="007B50EA">
        <w:rPr>
          <w:sz w:val="26"/>
          <w:szCs w:val="26"/>
        </w:rPr>
        <w:t>The Supreme Court likewise affirmed. First, it held that Chapter 380</w:t>
      </w:r>
      <w:r>
        <w:rPr>
          <w:sz w:val="26"/>
          <w:szCs w:val="26"/>
        </w:rPr>
        <w:t xml:space="preserve"> </w:t>
      </w:r>
      <w:r w:rsidRPr="007B50EA">
        <w:rPr>
          <w:sz w:val="26"/>
          <w:szCs w:val="26"/>
        </w:rPr>
        <w:t>contracts are not similar to those expressly identified in the Tort Claims</w:t>
      </w:r>
      <w:r>
        <w:rPr>
          <w:sz w:val="26"/>
          <w:szCs w:val="26"/>
        </w:rPr>
        <w:t xml:space="preserve"> </w:t>
      </w:r>
      <w:r w:rsidRPr="007B50EA">
        <w:rPr>
          <w:sz w:val="26"/>
          <w:szCs w:val="26"/>
        </w:rPr>
        <w:t>Act as being governmental. The Act includes only community-development</w:t>
      </w:r>
      <w:r>
        <w:rPr>
          <w:sz w:val="26"/>
          <w:szCs w:val="26"/>
        </w:rPr>
        <w:t xml:space="preserve"> </w:t>
      </w:r>
      <w:r w:rsidRPr="007B50EA">
        <w:rPr>
          <w:sz w:val="26"/>
          <w:szCs w:val="26"/>
        </w:rPr>
        <w:t>activities under Chapter 373 and urban-renewal activities under Chapter</w:t>
      </w:r>
      <w:r>
        <w:rPr>
          <w:sz w:val="26"/>
          <w:szCs w:val="26"/>
        </w:rPr>
        <w:t xml:space="preserve"> </w:t>
      </w:r>
      <w:r w:rsidRPr="007B50EA">
        <w:rPr>
          <w:sz w:val="26"/>
          <w:szCs w:val="26"/>
        </w:rPr>
        <w:t>374 and does not suggest that local economic-development activities under</w:t>
      </w:r>
      <w:r>
        <w:rPr>
          <w:sz w:val="26"/>
          <w:szCs w:val="26"/>
        </w:rPr>
        <w:t xml:space="preserve"> </w:t>
      </w:r>
      <w:r w:rsidRPr="007B50EA">
        <w:rPr>
          <w:sz w:val="26"/>
          <w:szCs w:val="26"/>
        </w:rPr>
        <w:t>Chapter 380 should be impliedly included.</w:t>
      </w:r>
      <w:r>
        <w:rPr>
          <w:sz w:val="26"/>
          <w:szCs w:val="26"/>
        </w:rPr>
        <w:t xml:space="preserve"> </w:t>
      </w:r>
      <w:r w:rsidRPr="007B50EA">
        <w:rPr>
          <w:sz w:val="26"/>
          <w:szCs w:val="26"/>
        </w:rPr>
        <w:t xml:space="preserve">It then held that the </w:t>
      </w:r>
      <w:r w:rsidRPr="007B50EA">
        <w:rPr>
          <w:i/>
          <w:iCs/>
          <w:sz w:val="26"/>
          <w:szCs w:val="26"/>
        </w:rPr>
        <w:t>Wasson</w:t>
      </w:r>
      <w:r w:rsidRPr="007B50EA">
        <w:rPr>
          <w:sz w:val="26"/>
          <w:szCs w:val="26"/>
        </w:rPr>
        <w:t xml:space="preserve"> factors weigh in favor of determining that</w:t>
      </w:r>
      <w:r>
        <w:rPr>
          <w:sz w:val="26"/>
          <w:szCs w:val="26"/>
        </w:rPr>
        <w:t xml:space="preserve"> </w:t>
      </w:r>
      <w:r w:rsidRPr="007B50EA">
        <w:rPr>
          <w:sz w:val="26"/>
          <w:szCs w:val="26"/>
        </w:rPr>
        <w:t>the City’s acts were proprietary. The</w:t>
      </w:r>
      <w:r>
        <w:rPr>
          <w:sz w:val="26"/>
          <w:szCs w:val="26"/>
        </w:rPr>
        <w:t xml:space="preserve"> </w:t>
      </w:r>
      <w:r w:rsidRPr="007B50EA">
        <w:rPr>
          <w:sz w:val="26"/>
          <w:szCs w:val="26"/>
        </w:rPr>
        <w:t>City’s decision to contract with Jimmy</w:t>
      </w:r>
      <w:r>
        <w:rPr>
          <w:sz w:val="26"/>
          <w:szCs w:val="26"/>
        </w:rPr>
        <w:t xml:space="preserve"> </w:t>
      </w:r>
      <w:r w:rsidRPr="007B50EA">
        <w:rPr>
          <w:sz w:val="26"/>
          <w:szCs w:val="26"/>
        </w:rPr>
        <w:t>Changas was discretionary, the contract primarily benefited City residents, the City acted on its own behalf</w:t>
      </w:r>
      <w:r>
        <w:rPr>
          <w:sz w:val="26"/>
          <w:szCs w:val="26"/>
        </w:rPr>
        <w:t xml:space="preserve"> </w:t>
      </w:r>
      <w:r w:rsidRPr="007B50EA">
        <w:rPr>
          <w:sz w:val="26"/>
          <w:szCs w:val="26"/>
        </w:rPr>
        <w:t>(that is, it did not act as an agent of the</w:t>
      </w:r>
      <w:r>
        <w:rPr>
          <w:sz w:val="26"/>
          <w:szCs w:val="26"/>
        </w:rPr>
        <w:t xml:space="preserve"> </w:t>
      </w:r>
      <w:r w:rsidRPr="007B50EA">
        <w:rPr>
          <w:sz w:val="26"/>
          <w:szCs w:val="26"/>
        </w:rPr>
        <w:t>State), and the City’s acts were not sufficiently related to a governmental</w:t>
      </w:r>
      <w:r>
        <w:rPr>
          <w:sz w:val="26"/>
          <w:szCs w:val="26"/>
        </w:rPr>
        <w:t xml:space="preserve"> </w:t>
      </w:r>
      <w:r w:rsidRPr="007B50EA">
        <w:rPr>
          <w:sz w:val="26"/>
          <w:szCs w:val="26"/>
        </w:rPr>
        <w:t>function so as to make them governmental as well.</w:t>
      </w:r>
      <w:r>
        <w:rPr>
          <w:sz w:val="26"/>
          <w:szCs w:val="26"/>
        </w:rPr>
        <w:t xml:space="preserve"> </w:t>
      </w:r>
      <w:r w:rsidRPr="007B50EA">
        <w:rPr>
          <w:sz w:val="26"/>
          <w:szCs w:val="26"/>
        </w:rPr>
        <w:t>Justice Young filed a concurring</w:t>
      </w:r>
      <w:r>
        <w:rPr>
          <w:sz w:val="26"/>
          <w:szCs w:val="26"/>
        </w:rPr>
        <w:t xml:space="preserve"> </w:t>
      </w:r>
      <w:r w:rsidRPr="007B50EA">
        <w:rPr>
          <w:sz w:val="26"/>
          <w:szCs w:val="26"/>
        </w:rPr>
        <w:t>opinion. Although he agreed with the</w:t>
      </w:r>
      <w:r>
        <w:rPr>
          <w:sz w:val="26"/>
          <w:szCs w:val="26"/>
        </w:rPr>
        <w:t xml:space="preserve"> </w:t>
      </w:r>
      <w:r w:rsidRPr="007B50EA">
        <w:rPr>
          <w:sz w:val="26"/>
          <w:szCs w:val="26"/>
        </w:rPr>
        <w:t>majority opinion, he suggested that the</w:t>
      </w:r>
      <w:r>
        <w:rPr>
          <w:sz w:val="26"/>
          <w:szCs w:val="26"/>
        </w:rPr>
        <w:t xml:space="preserve"> </w:t>
      </w:r>
      <w:r w:rsidRPr="007B50EA">
        <w:rPr>
          <w:sz w:val="26"/>
          <w:szCs w:val="26"/>
        </w:rPr>
        <w:t>Court reconsider its reliance on the list</w:t>
      </w:r>
      <w:r>
        <w:rPr>
          <w:sz w:val="26"/>
          <w:szCs w:val="26"/>
        </w:rPr>
        <w:t xml:space="preserve"> </w:t>
      </w:r>
      <w:r w:rsidRPr="007B50EA">
        <w:rPr>
          <w:sz w:val="26"/>
          <w:szCs w:val="26"/>
        </w:rPr>
        <w:t>of governmental functions in the Torts</w:t>
      </w:r>
      <w:r>
        <w:rPr>
          <w:sz w:val="26"/>
          <w:szCs w:val="26"/>
        </w:rPr>
        <w:t xml:space="preserve"> </w:t>
      </w:r>
      <w:r w:rsidRPr="007B50EA">
        <w:rPr>
          <w:sz w:val="26"/>
          <w:szCs w:val="26"/>
        </w:rPr>
        <w:t>Claims Act when deciding a contract</w:t>
      </w:r>
      <w:r>
        <w:rPr>
          <w:sz w:val="26"/>
          <w:szCs w:val="26"/>
        </w:rPr>
        <w:t xml:space="preserve"> </w:t>
      </w:r>
      <w:r w:rsidRPr="007B50EA">
        <w:rPr>
          <w:sz w:val="26"/>
          <w:szCs w:val="26"/>
        </w:rPr>
        <w:t>case, and he questioned the usefulness</w:t>
      </w:r>
      <w:r>
        <w:rPr>
          <w:sz w:val="26"/>
          <w:szCs w:val="26"/>
        </w:rPr>
        <w:t xml:space="preserve"> </w:t>
      </w:r>
      <w:r w:rsidRPr="007B50EA">
        <w:rPr>
          <w:sz w:val="26"/>
          <w:szCs w:val="26"/>
        </w:rPr>
        <w:t xml:space="preserve">of the </w:t>
      </w:r>
      <w:r w:rsidRPr="007B50EA">
        <w:rPr>
          <w:i/>
          <w:iCs/>
          <w:sz w:val="26"/>
          <w:szCs w:val="26"/>
        </w:rPr>
        <w:t>Wasson</w:t>
      </w:r>
      <w:r w:rsidRPr="007B50EA">
        <w:rPr>
          <w:sz w:val="26"/>
          <w:szCs w:val="26"/>
        </w:rPr>
        <w:t xml:space="preserve"> factors in other cases.</w:t>
      </w:r>
    </w:p>
    <w:p w14:paraId="1C8C3207" w14:textId="77777777" w:rsidR="0081088C" w:rsidRPr="007B50EA" w:rsidRDefault="0081088C" w:rsidP="0081088C">
      <w:pPr>
        <w:jc w:val="both"/>
        <w:rPr>
          <w:sz w:val="26"/>
          <w:szCs w:val="26"/>
        </w:rPr>
      </w:pPr>
    </w:p>
    <w:p w14:paraId="4967F8C8" w14:textId="77777777" w:rsidR="0081088C" w:rsidRDefault="0081088C" w:rsidP="0081088C">
      <w:pPr>
        <w:jc w:val="both"/>
        <w:rPr>
          <w:sz w:val="26"/>
          <w:szCs w:val="26"/>
        </w:rPr>
      </w:pPr>
      <w:r w:rsidRPr="007B50EA">
        <w:rPr>
          <w:sz w:val="26"/>
          <w:szCs w:val="26"/>
        </w:rPr>
        <w:t>Justice Blacklock filed a dissenting opinion, in which Justice Bland</w:t>
      </w:r>
      <w:r>
        <w:rPr>
          <w:sz w:val="26"/>
          <w:szCs w:val="26"/>
        </w:rPr>
        <w:t xml:space="preserve"> </w:t>
      </w:r>
      <w:r w:rsidRPr="007B50EA">
        <w:rPr>
          <w:sz w:val="26"/>
          <w:szCs w:val="26"/>
        </w:rPr>
        <w:t xml:space="preserve">joined in part. He agreed with the concurrence that the </w:t>
      </w:r>
      <w:r w:rsidRPr="007B50EA">
        <w:rPr>
          <w:i/>
          <w:iCs/>
          <w:sz w:val="26"/>
          <w:szCs w:val="26"/>
        </w:rPr>
        <w:t>Wasson</w:t>
      </w:r>
      <w:r w:rsidRPr="007B50EA">
        <w:rPr>
          <w:sz w:val="26"/>
          <w:szCs w:val="26"/>
        </w:rPr>
        <w:t xml:space="preserve"> factors do not</w:t>
      </w:r>
      <w:r>
        <w:rPr>
          <w:sz w:val="26"/>
          <w:szCs w:val="26"/>
        </w:rPr>
        <w:t xml:space="preserve"> </w:t>
      </w:r>
      <w:r w:rsidRPr="007B50EA">
        <w:rPr>
          <w:sz w:val="26"/>
          <w:szCs w:val="26"/>
        </w:rPr>
        <w:t>aid the Court in answering the ultimate question of whether the City’s</w:t>
      </w:r>
      <w:r>
        <w:rPr>
          <w:sz w:val="26"/>
          <w:szCs w:val="26"/>
        </w:rPr>
        <w:t xml:space="preserve"> </w:t>
      </w:r>
      <w:r w:rsidRPr="007B50EA">
        <w:rPr>
          <w:sz w:val="26"/>
          <w:szCs w:val="26"/>
        </w:rPr>
        <w:t>acts were governmental or proprietary.</w:t>
      </w:r>
      <w:r>
        <w:rPr>
          <w:sz w:val="26"/>
          <w:szCs w:val="26"/>
        </w:rPr>
        <w:t xml:space="preserve"> </w:t>
      </w:r>
      <w:r w:rsidRPr="007B50EA">
        <w:rPr>
          <w:sz w:val="26"/>
          <w:szCs w:val="26"/>
        </w:rPr>
        <w:t>The dissent would hold that a Chapter</w:t>
      </w:r>
      <w:r>
        <w:rPr>
          <w:sz w:val="26"/>
          <w:szCs w:val="26"/>
        </w:rPr>
        <w:t xml:space="preserve"> </w:t>
      </w:r>
      <w:r w:rsidRPr="007B50EA">
        <w:rPr>
          <w:sz w:val="26"/>
          <w:szCs w:val="26"/>
        </w:rPr>
        <w:t>380 tax-incentive grant program for local economic development is a governmental function because such contracts</w:t>
      </w:r>
      <w:r>
        <w:rPr>
          <w:sz w:val="26"/>
          <w:szCs w:val="26"/>
        </w:rPr>
        <w:t xml:space="preserve"> </w:t>
      </w:r>
      <w:r w:rsidRPr="007B50EA">
        <w:rPr>
          <w:sz w:val="26"/>
          <w:szCs w:val="26"/>
        </w:rPr>
        <w:t>implement a government grant program operated for a diffuse public benefit.</w:t>
      </w:r>
      <w:r>
        <w:rPr>
          <w:sz w:val="26"/>
          <w:szCs w:val="26"/>
        </w:rPr>
        <w:t xml:space="preserve"> (</w:t>
      </w:r>
      <w:r w:rsidRPr="00460248">
        <w:rPr>
          <w:i/>
          <w:iCs/>
          <w:sz w:val="26"/>
          <w:szCs w:val="26"/>
        </w:rPr>
        <w:t>Wasson</w:t>
      </w:r>
      <w:r>
        <w:rPr>
          <w:sz w:val="26"/>
          <w:szCs w:val="26"/>
        </w:rPr>
        <w:t>, a series of two cases decided by the Supreme Court in 2016 and 2018, analogized contractual issues to the tort claims act).</w:t>
      </w:r>
    </w:p>
    <w:p w14:paraId="34BFDA03" w14:textId="77777777" w:rsidR="0081088C" w:rsidRDefault="0081088C" w:rsidP="0081088C">
      <w:pPr>
        <w:jc w:val="both"/>
        <w:rPr>
          <w:sz w:val="26"/>
          <w:szCs w:val="26"/>
        </w:rPr>
      </w:pPr>
    </w:p>
    <w:p w14:paraId="3F1B7843" w14:textId="77777777" w:rsidR="0081088C" w:rsidRDefault="0081088C" w:rsidP="0081088C">
      <w:pPr>
        <w:jc w:val="both"/>
        <w:rPr>
          <w:sz w:val="26"/>
          <w:szCs w:val="26"/>
        </w:rPr>
      </w:pPr>
      <w:r w:rsidRPr="00460248">
        <w:rPr>
          <w:i/>
          <w:iCs/>
          <w:sz w:val="26"/>
          <w:szCs w:val="26"/>
        </w:rPr>
        <w:t>City of Houston v. Green</w:t>
      </w:r>
      <w:r w:rsidRPr="00460248">
        <w:rPr>
          <w:sz w:val="26"/>
          <w:szCs w:val="26"/>
        </w:rPr>
        <w:t>, ___</w:t>
      </w:r>
      <w:r>
        <w:rPr>
          <w:sz w:val="26"/>
          <w:szCs w:val="26"/>
        </w:rPr>
        <w:t xml:space="preserve"> </w:t>
      </w:r>
      <w:r w:rsidRPr="00460248">
        <w:rPr>
          <w:sz w:val="26"/>
          <w:szCs w:val="26"/>
        </w:rPr>
        <w:t>S.W.3d ___, 2023 WL 22-0295</w:t>
      </w:r>
      <w:r>
        <w:rPr>
          <w:sz w:val="26"/>
          <w:szCs w:val="26"/>
        </w:rPr>
        <w:t xml:space="preserve">, </w:t>
      </w:r>
      <w:r w:rsidRPr="00460248">
        <w:rPr>
          <w:sz w:val="26"/>
          <w:szCs w:val="26"/>
        </w:rPr>
        <w:t xml:space="preserve">22-0295 (Tex. June 30, 2023) (per curiam) </w:t>
      </w:r>
    </w:p>
    <w:p w14:paraId="1BE16DA5" w14:textId="77777777" w:rsidR="0081088C" w:rsidRDefault="0081088C" w:rsidP="0081088C">
      <w:pPr>
        <w:jc w:val="both"/>
        <w:rPr>
          <w:sz w:val="26"/>
          <w:szCs w:val="26"/>
        </w:rPr>
      </w:pPr>
    </w:p>
    <w:p w14:paraId="32381B79" w14:textId="77777777" w:rsidR="0081088C" w:rsidRDefault="0081088C" w:rsidP="0081088C">
      <w:pPr>
        <w:jc w:val="both"/>
        <w:rPr>
          <w:sz w:val="26"/>
          <w:szCs w:val="26"/>
        </w:rPr>
      </w:pPr>
      <w:r w:rsidRPr="00460248">
        <w:rPr>
          <w:sz w:val="26"/>
          <w:szCs w:val="26"/>
        </w:rPr>
        <w:t xml:space="preserve">The issue </w:t>
      </w:r>
      <w:r>
        <w:rPr>
          <w:sz w:val="26"/>
          <w:szCs w:val="26"/>
        </w:rPr>
        <w:t>wa</w:t>
      </w:r>
      <w:r w:rsidRPr="00460248">
        <w:rPr>
          <w:sz w:val="26"/>
          <w:szCs w:val="26"/>
        </w:rPr>
        <w:t>s whether</w:t>
      </w:r>
      <w:r>
        <w:rPr>
          <w:sz w:val="26"/>
          <w:szCs w:val="26"/>
        </w:rPr>
        <w:t xml:space="preserve"> </w:t>
      </w:r>
      <w:r w:rsidRPr="00460248">
        <w:rPr>
          <w:sz w:val="26"/>
          <w:szCs w:val="26"/>
        </w:rPr>
        <w:t>a police officer is entitled to immunity</w:t>
      </w:r>
      <w:r>
        <w:rPr>
          <w:sz w:val="26"/>
          <w:szCs w:val="26"/>
        </w:rPr>
        <w:t xml:space="preserve"> </w:t>
      </w:r>
      <w:r w:rsidRPr="00460248">
        <w:rPr>
          <w:sz w:val="26"/>
          <w:szCs w:val="26"/>
        </w:rPr>
        <w:t>under the Texas Tort Claims Act’s</w:t>
      </w:r>
      <w:r>
        <w:rPr>
          <w:sz w:val="26"/>
          <w:szCs w:val="26"/>
        </w:rPr>
        <w:t xml:space="preserve"> </w:t>
      </w:r>
      <w:r w:rsidRPr="00460248">
        <w:rPr>
          <w:sz w:val="26"/>
          <w:szCs w:val="26"/>
        </w:rPr>
        <w:t>emergency exception.</w:t>
      </w:r>
      <w:r>
        <w:rPr>
          <w:sz w:val="26"/>
          <w:szCs w:val="26"/>
        </w:rPr>
        <w:t xml:space="preserve"> </w:t>
      </w:r>
      <w:r w:rsidRPr="00460248">
        <w:rPr>
          <w:sz w:val="26"/>
          <w:szCs w:val="26"/>
        </w:rPr>
        <w:t>Houston police officer Samuel</w:t>
      </w:r>
      <w:r>
        <w:rPr>
          <w:sz w:val="26"/>
          <w:szCs w:val="26"/>
        </w:rPr>
        <w:t xml:space="preserve"> </w:t>
      </w:r>
      <w:r w:rsidRPr="00460248">
        <w:rPr>
          <w:sz w:val="26"/>
          <w:szCs w:val="26"/>
        </w:rPr>
        <w:t>Omesa was responding to an emergency call when his vehicle collided</w:t>
      </w:r>
      <w:r>
        <w:rPr>
          <w:sz w:val="26"/>
          <w:szCs w:val="26"/>
        </w:rPr>
        <w:t xml:space="preserve"> </w:t>
      </w:r>
      <w:r w:rsidRPr="00460248">
        <w:rPr>
          <w:sz w:val="26"/>
          <w:szCs w:val="26"/>
        </w:rPr>
        <w:t>with one driven by Crystal Green.</w:t>
      </w:r>
      <w:r>
        <w:rPr>
          <w:sz w:val="26"/>
          <w:szCs w:val="26"/>
        </w:rPr>
        <w:t xml:space="preserve"> </w:t>
      </w:r>
      <w:r w:rsidRPr="00460248">
        <w:rPr>
          <w:sz w:val="26"/>
          <w:szCs w:val="26"/>
        </w:rPr>
        <w:t>Omesa testified that he had his emergency lights on, and his siren activated</w:t>
      </w:r>
      <w:r>
        <w:rPr>
          <w:sz w:val="26"/>
          <w:szCs w:val="26"/>
        </w:rPr>
        <w:t xml:space="preserve"> </w:t>
      </w:r>
      <w:r w:rsidRPr="00460248">
        <w:rPr>
          <w:sz w:val="26"/>
          <w:szCs w:val="26"/>
        </w:rPr>
        <w:t>intermittently. He claimed that he</w:t>
      </w:r>
      <w:r>
        <w:rPr>
          <w:sz w:val="26"/>
          <w:szCs w:val="26"/>
        </w:rPr>
        <w:t xml:space="preserve"> </w:t>
      </w:r>
      <w:r w:rsidRPr="00460248">
        <w:rPr>
          <w:sz w:val="26"/>
          <w:szCs w:val="26"/>
        </w:rPr>
        <w:t>stopped and looked both ways at each</w:t>
      </w:r>
      <w:r>
        <w:rPr>
          <w:sz w:val="26"/>
          <w:szCs w:val="26"/>
        </w:rPr>
        <w:t xml:space="preserve"> </w:t>
      </w:r>
      <w:r w:rsidRPr="00460248">
        <w:rPr>
          <w:sz w:val="26"/>
          <w:szCs w:val="26"/>
        </w:rPr>
        <w:t>intersection he crossed but that Green</w:t>
      </w:r>
      <w:r>
        <w:rPr>
          <w:sz w:val="26"/>
          <w:szCs w:val="26"/>
        </w:rPr>
        <w:t xml:space="preserve"> </w:t>
      </w:r>
      <w:r w:rsidRPr="00460248">
        <w:rPr>
          <w:sz w:val="26"/>
          <w:szCs w:val="26"/>
        </w:rPr>
        <w:t>appeared suddenly from behind other</w:t>
      </w:r>
      <w:r>
        <w:rPr>
          <w:sz w:val="26"/>
          <w:szCs w:val="26"/>
        </w:rPr>
        <w:t xml:space="preserve"> </w:t>
      </w:r>
      <w:r w:rsidRPr="00460248">
        <w:rPr>
          <w:sz w:val="26"/>
          <w:szCs w:val="26"/>
        </w:rPr>
        <w:t>vehicles and did not have her headlights on. Green disputed Omesa’s testimony that he was driving at a reasonable speed and had his siren on.</w:t>
      </w:r>
      <w:r>
        <w:rPr>
          <w:sz w:val="26"/>
          <w:szCs w:val="26"/>
        </w:rPr>
        <w:t xml:space="preserve"> </w:t>
      </w:r>
      <w:r w:rsidRPr="00460248">
        <w:rPr>
          <w:sz w:val="26"/>
          <w:szCs w:val="26"/>
        </w:rPr>
        <w:t>Green sued the City of Houston.</w:t>
      </w:r>
      <w:r>
        <w:rPr>
          <w:sz w:val="26"/>
          <w:szCs w:val="26"/>
        </w:rPr>
        <w:t xml:space="preserve"> </w:t>
      </w:r>
      <w:r w:rsidRPr="00460248">
        <w:rPr>
          <w:sz w:val="26"/>
          <w:szCs w:val="26"/>
        </w:rPr>
        <w:t>The City moved for summary judgment, asserting that the TTCA’s emergency exception preserved the City’s</w:t>
      </w:r>
      <w:r>
        <w:rPr>
          <w:sz w:val="26"/>
          <w:szCs w:val="26"/>
        </w:rPr>
        <w:t xml:space="preserve"> </w:t>
      </w:r>
      <w:r w:rsidRPr="00460248">
        <w:rPr>
          <w:sz w:val="26"/>
          <w:szCs w:val="26"/>
        </w:rPr>
        <w:t>immunity. The trial court denied the</w:t>
      </w:r>
      <w:r>
        <w:rPr>
          <w:sz w:val="26"/>
          <w:szCs w:val="26"/>
        </w:rPr>
        <w:t xml:space="preserve"> </w:t>
      </w:r>
      <w:r w:rsidRPr="00460248">
        <w:rPr>
          <w:sz w:val="26"/>
          <w:szCs w:val="26"/>
        </w:rPr>
        <w:t>motion, and the City appealed. The</w:t>
      </w:r>
      <w:r>
        <w:rPr>
          <w:sz w:val="26"/>
          <w:szCs w:val="26"/>
        </w:rPr>
        <w:t xml:space="preserve"> </w:t>
      </w:r>
      <w:r w:rsidRPr="00460248">
        <w:rPr>
          <w:sz w:val="26"/>
          <w:szCs w:val="26"/>
        </w:rPr>
        <w:t>court of appeals affirmed, holding that</w:t>
      </w:r>
      <w:r>
        <w:rPr>
          <w:sz w:val="26"/>
          <w:szCs w:val="26"/>
        </w:rPr>
        <w:t xml:space="preserve"> </w:t>
      </w:r>
      <w:r w:rsidRPr="00460248">
        <w:rPr>
          <w:sz w:val="26"/>
          <w:szCs w:val="26"/>
        </w:rPr>
        <w:t>Green raised a fact issue as to whether</w:t>
      </w:r>
      <w:r>
        <w:rPr>
          <w:sz w:val="26"/>
          <w:szCs w:val="26"/>
        </w:rPr>
        <w:t xml:space="preserve"> </w:t>
      </w:r>
      <w:r w:rsidRPr="00460248">
        <w:rPr>
          <w:sz w:val="26"/>
          <w:szCs w:val="26"/>
        </w:rPr>
        <w:t xml:space="preserve">Omesa’s conduct was </w:t>
      </w:r>
      <w:r w:rsidRPr="00460248">
        <w:rPr>
          <w:i/>
          <w:iCs/>
          <w:sz w:val="26"/>
          <w:szCs w:val="26"/>
        </w:rPr>
        <w:t>reckless</w:t>
      </w:r>
      <w:r w:rsidRPr="00460248">
        <w:rPr>
          <w:sz w:val="26"/>
          <w:szCs w:val="26"/>
        </w:rPr>
        <w:t xml:space="preserve">. </w:t>
      </w:r>
    </w:p>
    <w:p w14:paraId="2D82C434" w14:textId="77777777" w:rsidR="0081088C" w:rsidRDefault="0081088C" w:rsidP="0081088C">
      <w:pPr>
        <w:jc w:val="both"/>
        <w:rPr>
          <w:sz w:val="26"/>
          <w:szCs w:val="26"/>
        </w:rPr>
      </w:pPr>
    </w:p>
    <w:p w14:paraId="0CADD12A" w14:textId="77777777" w:rsidR="0081088C" w:rsidRDefault="0081088C" w:rsidP="0081088C">
      <w:pPr>
        <w:jc w:val="both"/>
        <w:rPr>
          <w:sz w:val="26"/>
          <w:szCs w:val="26"/>
        </w:rPr>
      </w:pPr>
      <w:r w:rsidRPr="00460248">
        <w:rPr>
          <w:sz w:val="26"/>
          <w:szCs w:val="26"/>
        </w:rPr>
        <w:t>In a per curiam opinion, the</w:t>
      </w:r>
      <w:r>
        <w:rPr>
          <w:sz w:val="26"/>
          <w:szCs w:val="26"/>
        </w:rPr>
        <w:t xml:space="preserve"> </w:t>
      </w:r>
      <w:r w:rsidRPr="00460248">
        <w:rPr>
          <w:sz w:val="26"/>
          <w:szCs w:val="26"/>
        </w:rPr>
        <w:t>Court reversed the court of appeals’</w:t>
      </w:r>
      <w:r>
        <w:rPr>
          <w:sz w:val="26"/>
          <w:szCs w:val="26"/>
        </w:rPr>
        <w:t xml:space="preserve"> </w:t>
      </w:r>
      <w:r w:rsidRPr="00460248">
        <w:rPr>
          <w:sz w:val="26"/>
          <w:szCs w:val="26"/>
        </w:rPr>
        <w:t>judgment and rendered judgment dismissing Green’s claims against the</w:t>
      </w:r>
      <w:r>
        <w:rPr>
          <w:sz w:val="26"/>
          <w:szCs w:val="26"/>
        </w:rPr>
        <w:t xml:space="preserve"> </w:t>
      </w:r>
      <w:r w:rsidRPr="00460248">
        <w:rPr>
          <w:sz w:val="26"/>
          <w:szCs w:val="26"/>
        </w:rPr>
        <w:t>City. The Court held that the emergency exception applies—and that immunity is not waived—because Green</w:t>
      </w:r>
      <w:r>
        <w:rPr>
          <w:sz w:val="26"/>
          <w:szCs w:val="26"/>
        </w:rPr>
        <w:t xml:space="preserve"> </w:t>
      </w:r>
      <w:r w:rsidRPr="00460248">
        <w:rPr>
          <w:sz w:val="26"/>
          <w:szCs w:val="26"/>
        </w:rPr>
        <w:t>failed to raise a fact issue as to whether</w:t>
      </w:r>
      <w:r>
        <w:rPr>
          <w:sz w:val="26"/>
          <w:szCs w:val="26"/>
        </w:rPr>
        <w:t xml:space="preserve"> </w:t>
      </w:r>
      <w:r w:rsidRPr="00460248">
        <w:rPr>
          <w:sz w:val="26"/>
          <w:szCs w:val="26"/>
        </w:rPr>
        <w:t>Omesa acted with reckless disregard</w:t>
      </w:r>
      <w:r>
        <w:rPr>
          <w:sz w:val="26"/>
          <w:szCs w:val="26"/>
        </w:rPr>
        <w:t xml:space="preserve"> </w:t>
      </w:r>
      <w:r w:rsidRPr="00460248">
        <w:rPr>
          <w:sz w:val="26"/>
          <w:szCs w:val="26"/>
        </w:rPr>
        <w:t>for the safety of others. Specifically,</w:t>
      </w:r>
      <w:r>
        <w:rPr>
          <w:sz w:val="26"/>
          <w:szCs w:val="26"/>
        </w:rPr>
        <w:t xml:space="preserve"> </w:t>
      </w:r>
      <w:r w:rsidRPr="00460248">
        <w:rPr>
          <w:sz w:val="26"/>
          <w:szCs w:val="26"/>
        </w:rPr>
        <w:t>Green failed to introduce evidence that</w:t>
      </w:r>
      <w:r>
        <w:rPr>
          <w:sz w:val="26"/>
          <w:szCs w:val="26"/>
        </w:rPr>
        <w:t xml:space="preserve"> </w:t>
      </w:r>
      <w:r w:rsidRPr="00460248">
        <w:rPr>
          <w:sz w:val="26"/>
          <w:szCs w:val="26"/>
        </w:rPr>
        <w:t>could support anything more than a</w:t>
      </w:r>
      <w:r>
        <w:rPr>
          <w:sz w:val="26"/>
          <w:szCs w:val="26"/>
        </w:rPr>
        <w:t xml:space="preserve"> </w:t>
      </w:r>
      <w:r w:rsidRPr="00460248">
        <w:rPr>
          <w:sz w:val="26"/>
          <w:szCs w:val="26"/>
        </w:rPr>
        <w:t>momentary judgment lapse or failure</w:t>
      </w:r>
      <w:r>
        <w:rPr>
          <w:sz w:val="26"/>
          <w:szCs w:val="26"/>
        </w:rPr>
        <w:t xml:space="preserve"> </w:t>
      </w:r>
      <w:r w:rsidRPr="00460248">
        <w:rPr>
          <w:sz w:val="26"/>
          <w:szCs w:val="26"/>
        </w:rPr>
        <w:t>to use due care, neither of which suffice</w:t>
      </w:r>
      <w:r>
        <w:rPr>
          <w:sz w:val="26"/>
          <w:szCs w:val="26"/>
        </w:rPr>
        <w:t xml:space="preserve"> </w:t>
      </w:r>
      <w:r w:rsidRPr="00460248">
        <w:rPr>
          <w:sz w:val="26"/>
          <w:szCs w:val="26"/>
        </w:rPr>
        <w:t>to show reckless disregard for the</w:t>
      </w:r>
      <w:r>
        <w:rPr>
          <w:sz w:val="26"/>
          <w:szCs w:val="26"/>
        </w:rPr>
        <w:t xml:space="preserve"> </w:t>
      </w:r>
      <w:r w:rsidRPr="00460248">
        <w:rPr>
          <w:sz w:val="26"/>
          <w:szCs w:val="26"/>
        </w:rPr>
        <w:t>safety of others.</w:t>
      </w:r>
    </w:p>
    <w:p w14:paraId="033DFCAC" w14:textId="77777777" w:rsidR="0081088C" w:rsidRDefault="0081088C" w:rsidP="0081088C">
      <w:pPr>
        <w:jc w:val="both"/>
        <w:rPr>
          <w:sz w:val="26"/>
          <w:szCs w:val="26"/>
        </w:rPr>
      </w:pPr>
    </w:p>
    <w:p w14:paraId="02BDDEA0" w14:textId="77777777" w:rsidR="0081088C" w:rsidRDefault="0081088C" w:rsidP="0081088C">
      <w:pPr>
        <w:jc w:val="both"/>
        <w:rPr>
          <w:sz w:val="26"/>
          <w:szCs w:val="26"/>
        </w:rPr>
      </w:pPr>
    </w:p>
    <w:p w14:paraId="7C12FFBD" w14:textId="77777777" w:rsidR="0081088C" w:rsidRPr="00460248" w:rsidRDefault="0081088C" w:rsidP="0081088C">
      <w:pPr>
        <w:jc w:val="both"/>
        <w:rPr>
          <w:b/>
          <w:bCs/>
          <w:sz w:val="26"/>
          <w:szCs w:val="26"/>
        </w:rPr>
      </w:pPr>
      <w:r w:rsidRPr="00460248">
        <w:rPr>
          <w:b/>
          <w:bCs/>
          <w:sz w:val="26"/>
          <w:szCs w:val="26"/>
        </w:rPr>
        <w:t>MEDICAL EXPERT</w:t>
      </w:r>
      <w:r>
        <w:rPr>
          <w:b/>
          <w:bCs/>
          <w:sz w:val="26"/>
          <w:szCs w:val="26"/>
        </w:rPr>
        <w:t xml:space="preserve"> REQUIREMENT/CHAPTER 74</w:t>
      </w:r>
    </w:p>
    <w:p w14:paraId="7FE9EAC6" w14:textId="77777777" w:rsidR="0081088C" w:rsidRDefault="0081088C" w:rsidP="0081088C">
      <w:pPr>
        <w:jc w:val="both"/>
        <w:rPr>
          <w:sz w:val="26"/>
          <w:szCs w:val="26"/>
        </w:rPr>
      </w:pPr>
    </w:p>
    <w:p w14:paraId="4BE09B1A" w14:textId="77777777" w:rsidR="0081088C" w:rsidRPr="00460248" w:rsidRDefault="0081088C" w:rsidP="0081088C">
      <w:pPr>
        <w:jc w:val="both"/>
        <w:rPr>
          <w:sz w:val="26"/>
          <w:szCs w:val="26"/>
        </w:rPr>
      </w:pPr>
      <w:r w:rsidRPr="00460248">
        <w:rPr>
          <w:sz w:val="26"/>
          <w:szCs w:val="26"/>
        </w:rPr>
        <w:t>Collin Creek Assisted Living</w:t>
      </w:r>
      <w:r>
        <w:rPr>
          <w:sz w:val="26"/>
          <w:szCs w:val="26"/>
        </w:rPr>
        <w:t xml:space="preserve"> </w:t>
      </w:r>
      <w:r w:rsidRPr="00460248">
        <w:rPr>
          <w:sz w:val="26"/>
          <w:szCs w:val="26"/>
        </w:rPr>
        <w:t>Ctr., Inc. v. Faber, ___ S.W.3d</w:t>
      </w:r>
      <w:r>
        <w:rPr>
          <w:sz w:val="26"/>
          <w:szCs w:val="26"/>
        </w:rPr>
        <w:t xml:space="preserve"> </w:t>
      </w:r>
      <w:r w:rsidRPr="00460248">
        <w:rPr>
          <w:sz w:val="26"/>
          <w:szCs w:val="26"/>
        </w:rPr>
        <w:t>___, 21-0470</w:t>
      </w:r>
      <w:r>
        <w:rPr>
          <w:sz w:val="26"/>
          <w:szCs w:val="26"/>
        </w:rPr>
        <w:t xml:space="preserve">, </w:t>
      </w:r>
      <w:r w:rsidRPr="00460248">
        <w:rPr>
          <w:sz w:val="26"/>
          <w:szCs w:val="26"/>
        </w:rPr>
        <w:t>2023 WL 4278313 (Tex.</w:t>
      </w:r>
      <w:r>
        <w:rPr>
          <w:sz w:val="26"/>
          <w:szCs w:val="26"/>
        </w:rPr>
        <w:t xml:space="preserve"> </w:t>
      </w:r>
      <w:r w:rsidRPr="00460248">
        <w:rPr>
          <w:sz w:val="26"/>
          <w:szCs w:val="26"/>
        </w:rPr>
        <w:t xml:space="preserve">June 30, 2023) </w:t>
      </w:r>
    </w:p>
    <w:p w14:paraId="02AB00F3" w14:textId="77777777" w:rsidR="0081088C" w:rsidRDefault="0081088C" w:rsidP="0081088C">
      <w:pPr>
        <w:jc w:val="both"/>
        <w:rPr>
          <w:sz w:val="26"/>
          <w:szCs w:val="26"/>
        </w:rPr>
      </w:pPr>
    </w:p>
    <w:p w14:paraId="75502F35" w14:textId="77777777" w:rsidR="0081088C" w:rsidRDefault="0081088C" w:rsidP="0081088C">
      <w:pPr>
        <w:jc w:val="both"/>
        <w:rPr>
          <w:sz w:val="26"/>
          <w:szCs w:val="26"/>
        </w:rPr>
      </w:pPr>
      <w:r w:rsidRPr="00460248">
        <w:rPr>
          <w:sz w:val="26"/>
          <w:szCs w:val="26"/>
        </w:rPr>
        <w:t>This case examines what constitutes a “health care liability claim” under the Texas Medical Liability Act.</w:t>
      </w:r>
      <w:r>
        <w:rPr>
          <w:sz w:val="26"/>
          <w:szCs w:val="26"/>
        </w:rPr>
        <w:t xml:space="preserve"> </w:t>
      </w:r>
      <w:r w:rsidRPr="00460248">
        <w:rPr>
          <w:sz w:val="26"/>
          <w:szCs w:val="26"/>
        </w:rPr>
        <w:t>Christine Faber sued an assisted</w:t>
      </w:r>
      <w:r>
        <w:rPr>
          <w:sz w:val="26"/>
          <w:szCs w:val="26"/>
        </w:rPr>
        <w:t xml:space="preserve"> </w:t>
      </w:r>
      <w:r w:rsidRPr="00460248">
        <w:rPr>
          <w:sz w:val="26"/>
          <w:szCs w:val="26"/>
        </w:rPr>
        <w:t>living facility for premises liability after her mother, a facility resident, died</w:t>
      </w:r>
      <w:r>
        <w:rPr>
          <w:sz w:val="26"/>
          <w:szCs w:val="26"/>
        </w:rPr>
        <w:t xml:space="preserve"> </w:t>
      </w:r>
      <w:r w:rsidRPr="00460248">
        <w:rPr>
          <w:sz w:val="26"/>
          <w:szCs w:val="26"/>
        </w:rPr>
        <w:t>from injuries she sustained while being</w:t>
      </w:r>
      <w:r>
        <w:rPr>
          <w:sz w:val="26"/>
          <w:szCs w:val="26"/>
        </w:rPr>
        <w:t xml:space="preserve"> </w:t>
      </w:r>
      <w:r w:rsidRPr="00460248">
        <w:rPr>
          <w:sz w:val="26"/>
          <w:szCs w:val="26"/>
        </w:rPr>
        <w:t>pushed on a rolling walker by a facility</w:t>
      </w:r>
      <w:r>
        <w:rPr>
          <w:sz w:val="26"/>
          <w:szCs w:val="26"/>
        </w:rPr>
        <w:t xml:space="preserve"> </w:t>
      </w:r>
      <w:r w:rsidRPr="00460248">
        <w:rPr>
          <w:sz w:val="26"/>
          <w:szCs w:val="26"/>
        </w:rPr>
        <w:t>employee along the facility’s sidewalk.</w:t>
      </w:r>
      <w:r>
        <w:rPr>
          <w:sz w:val="26"/>
          <w:szCs w:val="26"/>
        </w:rPr>
        <w:t xml:space="preserve"> </w:t>
      </w:r>
      <w:r w:rsidRPr="00460248">
        <w:rPr>
          <w:sz w:val="26"/>
          <w:szCs w:val="26"/>
        </w:rPr>
        <w:t>A walker wheel caught in a crack, and</w:t>
      </w:r>
      <w:r>
        <w:rPr>
          <w:sz w:val="26"/>
          <w:szCs w:val="26"/>
        </w:rPr>
        <w:t xml:space="preserve"> </w:t>
      </w:r>
      <w:r w:rsidRPr="00460248">
        <w:rPr>
          <w:sz w:val="26"/>
          <w:szCs w:val="26"/>
        </w:rPr>
        <w:t>Faber’s mother fell. The facility filed a</w:t>
      </w:r>
      <w:r>
        <w:rPr>
          <w:sz w:val="26"/>
          <w:szCs w:val="26"/>
        </w:rPr>
        <w:t xml:space="preserve"> </w:t>
      </w:r>
      <w:r w:rsidRPr="00460248">
        <w:rPr>
          <w:sz w:val="26"/>
          <w:szCs w:val="26"/>
        </w:rPr>
        <w:t>motion to dismiss on the grounds that</w:t>
      </w:r>
      <w:r>
        <w:rPr>
          <w:sz w:val="26"/>
          <w:szCs w:val="26"/>
        </w:rPr>
        <w:t xml:space="preserve"> </w:t>
      </w:r>
      <w:r w:rsidRPr="00460248">
        <w:rPr>
          <w:sz w:val="26"/>
          <w:szCs w:val="26"/>
        </w:rPr>
        <w:t>Faber had not timely served an expert</w:t>
      </w:r>
      <w:r>
        <w:rPr>
          <w:sz w:val="26"/>
          <w:szCs w:val="26"/>
        </w:rPr>
        <w:t xml:space="preserve"> </w:t>
      </w:r>
      <w:r w:rsidRPr="00460248">
        <w:rPr>
          <w:sz w:val="26"/>
          <w:szCs w:val="26"/>
        </w:rPr>
        <w:t>report as required by the TMLA. The</w:t>
      </w:r>
      <w:r>
        <w:rPr>
          <w:sz w:val="26"/>
          <w:szCs w:val="26"/>
        </w:rPr>
        <w:t xml:space="preserve"> </w:t>
      </w:r>
      <w:r w:rsidRPr="00460248">
        <w:rPr>
          <w:sz w:val="26"/>
          <w:szCs w:val="26"/>
        </w:rPr>
        <w:t>trial court granted the motion, but the</w:t>
      </w:r>
      <w:r>
        <w:rPr>
          <w:sz w:val="26"/>
          <w:szCs w:val="26"/>
        </w:rPr>
        <w:t xml:space="preserve"> </w:t>
      </w:r>
      <w:r w:rsidRPr="00460248">
        <w:rPr>
          <w:sz w:val="26"/>
          <w:szCs w:val="26"/>
        </w:rPr>
        <w:t>court of appeals, sitting en banc, reversed.</w:t>
      </w:r>
      <w:r>
        <w:rPr>
          <w:sz w:val="26"/>
          <w:szCs w:val="26"/>
        </w:rPr>
        <w:t xml:space="preserve"> </w:t>
      </w:r>
    </w:p>
    <w:p w14:paraId="203008A8" w14:textId="77777777" w:rsidR="0081088C" w:rsidRPr="00460248" w:rsidRDefault="0081088C" w:rsidP="0081088C">
      <w:pPr>
        <w:jc w:val="both"/>
        <w:rPr>
          <w:sz w:val="26"/>
          <w:szCs w:val="26"/>
        </w:rPr>
      </w:pPr>
    </w:p>
    <w:p w14:paraId="6DC8DDEF" w14:textId="77777777" w:rsidR="0081088C" w:rsidRDefault="0081088C" w:rsidP="0081088C">
      <w:pPr>
        <w:jc w:val="both"/>
        <w:rPr>
          <w:sz w:val="26"/>
          <w:szCs w:val="26"/>
        </w:rPr>
      </w:pPr>
      <w:r w:rsidRPr="00460248">
        <w:rPr>
          <w:sz w:val="26"/>
          <w:szCs w:val="26"/>
        </w:rPr>
        <w:t>In an opinion by Justice Busby,</w:t>
      </w:r>
      <w:r>
        <w:rPr>
          <w:sz w:val="26"/>
          <w:szCs w:val="26"/>
        </w:rPr>
        <w:t xml:space="preserve"> </w:t>
      </w:r>
      <w:r w:rsidRPr="00460248">
        <w:rPr>
          <w:sz w:val="26"/>
          <w:szCs w:val="26"/>
        </w:rPr>
        <w:t>the Supreme Court reversed the court</w:t>
      </w:r>
      <w:r>
        <w:rPr>
          <w:sz w:val="26"/>
          <w:szCs w:val="26"/>
        </w:rPr>
        <w:t xml:space="preserve"> </w:t>
      </w:r>
      <w:r w:rsidRPr="00460248">
        <w:rPr>
          <w:sz w:val="26"/>
          <w:szCs w:val="26"/>
        </w:rPr>
        <w:t>of appeals’ judgment, rendered judgment dismissing Faber’s claim, and remanded the case to the trial court for</w:t>
      </w:r>
      <w:r>
        <w:rPr>
          <w:sz w:val="26"/>
          <w:szCs w:val="26"/>
        </w:rPr>
        <w:t xml:space="preserve"> </w:t>
      </w:r>
      <w:r w:rsidRPr="00460248">
        <w:rPr>
          <w:sz w:val="26"/>
          <w:szCs w:val="26"/>
        </w:rPr>
        <w:t>an award of attorney’s fees. The Court</w:t>
      </w:r>
      <w:r>
        <w:rPr>
          <w:sz w:val="26"/>
          <w:szCs w:val="26"/>
        </w:rPr>
        <w:t xml:space="preserve"> </w:t>
      </w:r>
      <w:r w:rsidRPr="00460248">
        <w:rPr>
          <w:sz w:val="26"/>
          <w:szCs w:val="26"/>
        </w:rPr>
        <w:t>explained that the court of appeals did</w:t>
      </w:r>
      <w:r>
        <w:rPr>
          <w:sz w:val="26"/>
          <w:szCs w:val="26"/>
        </w:rPr>
        <w:t xml:space="preserve"> </w:t>
      </w:r>
      <w:r w:rsidRPr="00460248">
        <w:rPr>
          <w:sz w:val="26"/>
          <w:szCs w:val="26"/>
        </w:rPr>
        <w:t>not consider the entire record, which</w:t>
      </w:r>
      <w:r>
        <w:rPr>
          <w:sz w:val="26"/>
          <w:szCs w:val="26"/>
        </w:rPr>
        <w:t xml:space="preserve"> </w:t>
      </w:r>
      <w:r w:rsidRPr="00460248">
        <w:rPr>
          <w:sz w:val="26"/>
          <w:szCs w:val="26"/>
        </w:rPr>
        <w:t>included allegations directed to employee conduct, the condition of the</w:t>
      </w:r>
      <w:r>
        <w:rPr>
          <w:sz w:val="26"/>
          <w:szCs w:val="26"/>
        </w:rPr>
        <w:t xml:space="preserve"> </w:t>
      </w:r>
      <w:r w:rsidRPr="00460248">
        <w:rPr>
          <w:sz w:val="26"/>
          <w:szCs w:val="26"/>
        </w:rPr>
        <w:t>walker, and the decedent’s status as a</w:t>
      </w:r>
      <w:r>
        <w:rPr>
          <w:sz w:val="26"/>
          <w:szCs w:val="26"/>
        </w:rPr>
        <w:t xml:space="preserve"> </w:t>
      </w:r>
      <w:r w:rsidRPr="00460248">
        <w:rPr>
          <w:sz w:val="26"/>
          <w:szCs w:val="26"/>
        </w:rPr>
        <w:t xml:space="preserve">recipient of personal-care services. Applying the factors articulated in </w:t>
      </w:r>
      <w:r w:rsidRPr="00460248">
        <w:rPr>
          <w:i/>
          <w:iCs/>
          <w:sz w:val="26"/>
          <w:szCs w:val="26"/>
        </w:rPr>
        <w:t>Ross v. St. Luke’s Episcopal Hospital</w:t>
      </w:r>
      <w:r w:rsidRPr="00460248">
        <w:rPr>
          <w:sz w:val="26"/>
          <w:szCs w:val="26"/>
        </w:rPr>
        <w:t>, the</w:t>
      </w:r>
      <w:r>
        <w:rPr>
          <w:sz w:val="26"/>
          <w:szCs w:val="26"/>
        </w:rPr>
        <w:t xml:space="preserve"> </w:t>
      </w:r>
      <w:r w:rsidRPr="00460248">
        <w:rPr>
          <w:sz w:val="26"/>
          <w:szCs w:val="26"/>
        </w:rPr>
        <w:t>Court held that Faber’s claim is a</w:t>
      </w:r>
      <w:r>
        <w:rPr>
          <w:sz w:val="26"/>
          <w:szCs w:val="26"/>
        </w:rPr>
        <w:t xml:space="preserve"> </w:t>
      </w:r>
      <w:r w:rsidRPr="00460248">
        <w:rPr>
          <w:sz w:val="26"/>
          <w:szCs w:val="26"/>
        </w:rPr>
        <w:t>health care liability claim under the</w:t>
      </w:r>
      <w:r>
        <w:rPr>
          <w:sz w:val="26"/>
          <w:szCs w:val="26"/>
        </w:rPr>
        <w:t xml:space="preserve"> </w:t>
      </w:r>
      <w:r w:rsidRPr="00460248">
        <w:rPr>
          <w:sz w:val="26"/>
          <w:szCs w:val="26"/>
        </w:rPr>
        <w:t>TMLA and that, therefore, an expert</w:t>
      </w:r>
      <w:r>
        <w:rPr>
          <w:sz w:val="26"/>
          <w:szCs w:val="26"/>
        </w:rPr>
        <w:t xml:space="preserve"> </w:t>
      </w:r>
      <w:r w:rsidRPr="00460248">
        <w:rPr>
          <w:sz w:val="26"/>
          <w:szCs w:val="26"/>
        </w:rPr>
        <w:t>report was required.</w:t>
      </w:r>
    </w:p>
    <w:p w14:paraId="4DF70FE9" w14:textId="77777777" w:rsidR="0081088C" w:rsidRPr="00460248" w:rsidRDefault="0081088C" w:rsidP="0081088C">
      <w:pPr>
        <w:jc w:val="both"/>
        <w:rPr>
          <w:sz w:val="26"/>
          <w:szCs w:val="26"/>
        </w:rPr>
      </w:pPr>
    </w:p>
    <w:p w14:paraId="1A2A41AD" w14:textId="77777777" w:rsidR="0081088C" w:rsidRDefault="0081088C" w:rsidP="0081088C">
      <w:pPr>
        <w:jc w:val="both"/>
        <w:rPr>
          <w:sz w:val="26"/>
          <w:szCs w:val="26"/>
        </w:rPr>
      </w:pPr>
      <w:r w:rsidRPr="00460248">
        <w:rPr>
          <w:sz w:val="26"/>
          <w:szCs w:val="26"/>
        </w:rPr>
        <w:t>Justice Young, joined by Justice</w:t>
      </w:r>
      <w:r>
        <w:rPr>
          <w:sz w:val="26"/>
          <w:szCs w:val="26"/>
        </w:rPr>
        <w:t xml:space="preserve"> </w:t>
      </w:r>
      <w:r w:rsidRPr="00460248">
        <w:rPr>
          <w:sz w:val="26"/>
          <w:szCs w:val="26"/>
        </w:rPr>
        <w:t>Blacklock, concurred, suggesting that</w:t>
      </w:r>
      <w:r>
        <w:rPr>
          <w:sz w:val="26"/>
          <w:szCs w:val="26"/>
        </w:rPr>
        <w:t xml:space="preserve"> </w:t>
      </w:r>
      <w:r w:rsidRPr="00460248">
        <w:rPr>
          <w:sz w:val="26"/>
          <w:szCs w:val="26"/>
        </w:rPr>
        <w:t xml:space="preserve">the </w:t>
      </w:r>
      <w:r w:rsidRPr="00460248">
        <w:rPr>
          <w:i/>
          <w:iCs/>
          <w:sz w:val="26"/>
          <w:szCs w:val="26"/>
        </w:rPr>
        <w:t>Ross</w:t>
      </w:r>
      <w:r w:rsidRPr="00460248">
        <w:rPr>
          <w:sz w:val="26"/>
          <w:szCs w:val="26"/>
        </w:rPr>
        <w:t xml:space="preserve"> factors should be revisited.</w:t>
      </w:r>
      <w:r>
        <w:rPr>
          <w:sz w:val="26"/>
          <w:szCs w:val="26"/>
        </w:rPr>
        <w:t xml:space="preserve"> (Ross held that </w:t>
      </w:r>
      <w:r w:rsidRPr="008953BB">
        <w:rPr>
          <w:sz w:val="26"/>
          <w:szCs w:val="26"/>
        </w:rPr>
        <w:t xml:space="preserve">the “safety standards referred to in the definition are those that have a substantive relationship with the providing of medical or health care.” </w:t>
      </w:r>
      <w:r>
        <w:rPr>
          <w:i/>
          <w:iCs/>
          <w:sz w:val="26"/>
          <w:szCs w:val="26"/>
        </w:rPr>
        <w:t>Ross v. St. Luke’s Episcopal Hospital</w:t>
      </w:r>
      <w:r w:rsidRPr="008953BB">
        <w:rPr>
          <w:sz w:val="26"/>
          <w:szCs w:val="26"/>
        </w:rPr>
        <w:t xml:space="preserve">, 462 S.W.3d </w:t>
      </w:r>
      <w:r>
        <w:rPr>
          <w:sz w:val="26"/>
          <w:szCs w:val="26"/>
        </w:rPr>
        <w:t>496,</w:t>
      </w:r>
      <w:r w:rsidRPr="008953BB">
        <w:rPr>
          <w:sz w:val="26"/>
          <w:szCs w:val="26"/>
        </w:rPr>
        <w:t xml:space="preserve"> 504</w:t>
      </w:r>
      <w:r>
        <w:rPr>
          <w:sz w:val="26"/>
          <w:szCs w:val="26"/>
        </w:rPr>
        <w:t xml:space="preserve"> (Tex. 2015)</w:t>
      </w:r>
      <w:r w:rsidRPr="008953BB">
        <w:rPr>
          <w:sz w:val="26"/>
          <w:szCs w:val="26"/>
        </w:rPr>
        <w:t>. It then concluded that “for a safety standards-based claim to be an H</w:t>
      </w:r>
      <w:r>
        <w:rPr>
          <w:sz w:val="26"/>
          <w:szCs w:val="26"/>
        </w:rPr>
        <w:t xml:space="preserve">ealthcare Liability Claim </w:t>
      </w:r>
      <w:r w:rsidRPr="008953BB">
        <w:rPr>
          <w:sz w:val="26"/>
          <w:szCs w:val="26"/>
        </w:rPr>
        <w:t xml:space="preserve">there must be a substantive nexus between the safety standards allegedly violated and the provision of health care.” </w:t>
      </w:r>
      <w:r w:rsidRPr="008953BB">
        <w:rPr>
          <w:i/>
          <w:iCs/>
          <w:sz w:val="26"/>
          <w:szCs w:val="26"/>
        </w:rPr>
        <w:t>Id</w:t>
      </w:r>
      <w:r w:rsidRPr="008953BB">
        <w:rPr>
          <w:sz w:val="26"/>
          <w:szCs w:val="26"/>
        </w:rPr>
        <w:t xml:space="preserve">. That nexus must be more than a “but for” relationship. </w:t>
      </w:r>
      <w:r w:rsidRPr="008953BB">
        <w:rPr>
          <w:i/>
          <w:iCs/>
          <w:sz w:val="26"/>
          <w:szCs w:val="26"/>
        </w:rPr>
        <w:t>Id</w:t>
      </w:r>
      <w:r w:rsidRPr="008953BB">
        <w:rPr>
          <w:sz w:val="26"/>
          <w:szCs w:val="26"/>
        </w:rPr>
        <w:t>.</w:t>
      </w:r>
    </w:p>
    <w:p w14:paraId="62265021" w14:textId="77777777" w:rsidR="0081088C" w:rsidRDefault="0081088C" w:rsidP="0081088C">
      <w:pPr>
        <w:jc w:val="both"/>
        <w:rPr>
          <w:sz w:val="26"/>
          <w:szCs w:val="26"/>
        </w:rPr>
      </w:pPr>
    </w:p>
    <w:p w14:paraId="72DCEA5C" w14:textId="77777777" w:rsidR="0081088C" w:rsidRDefault="0081088C" w:rsidP="0081088C">
      <w:pPr>
        <w:jc w:val="both"/>
        <w:rPr>
          <w:sz w:val="26"/>
          <w:szCs w:val="26"/>
        </w:rPr>
      </w:pPr>
      <w:r w:rsidRPr="00460248">
        <w:rPr>
          <w:sz w:val="26"/>
          <w:szCs w:val="26"/>
        </w:rPr>
        <w:t>Justice Boyd dissented, joined</w:t>
      </w:r>
      <w:r>
        <w:rPr>
          <w:sz w:val="26"/>
          <w:szCs w:val="26"/>
        </w:rPr>
        <w:t xml:space="preserve"> </w:t>
      </w:r>
      <w:r w:rsidRPr="00460248">
        <w:rPr>
          <w:sz w:val="26"/>
          <w:szCs w:val="26"/>
        </w:rPr>
        <w:t>by Justice Lehrmann and Justice</w:t>
      </w:r>
      <w:r>
        <w:rPr>
          <w:sz w:val="26"/>
          <w:szCs w:val="26"/>
        </w:rPr>
        <w:t xml:space="preserve"> </w:t>
      </w:r>
      <w:r w:rsidRPr="00460248">
        <w:rPr>
          <w:sz w:val="26"/>
          <w:szCs w:val="26"/>
        </w:rPr>
        <w:t>Devine. The dissent would have affirmed because the record lacks evidence that the facility provided the decedent with “health care” as defined in</w:t>
      </w:r>
      <w:r>
        <w:rPr>
          <w:sz w:val="26"/>
          <w:szCs w:val="26"/>
        </w:rPr>
        <w:t xml:space="preserve"> </w:t>
      </w:r>
      <w:r w:rsidRPr="00460248">
        <w:rPr>
          <w:sz w:val="26"/>
          <w:szCs w:val="26"/>
        </w:rPr>
        <w:t>the Act.</w:t>
      </w:r>
    </w:p>
    <w:p w14:paraId="2017CC9A" w14:textId="77777777" w:rsidR="0081088C" w:rsidRDefault="0081088C" w:rsidP="0081088C">
      <w:pPr>
        <w:jc w:val="both"/>
        <w:rPr>
          <w:sz w:val="26"/>
          <w:szCs w:val="26"/>
        </w:rPr>
      </w:pPr>
    </w:p>
    <w:p w14:paraId="60F85747" w14:textId="77777777" w:rsidR="0081088C" w:rsidRDefault="0081088C" w:rsidP="0081088C">
      <w:pPr>
        <w:jc w:val="both"/>
        <w:rPr>
          <w:sz w:val="26"/>
          <w:szCs w:val="26"/>
        </w:rPr>
      </w:pPr>
    </w:p>
    <w:p w14:paraId="4C10E91D" w14:textId="77777777" w:rsidR="0081088C" w:rsidRPr="004A0CCD" w:rsidRDefault="0081088C" w:rsidP="0081088C">
      <w:pPr>
        <w:jc w:val="both"/>
        <w:rPr>
          <w:b/>
          <w:bCs/>
          <w:sz w:val="26"/>
          <w:szCs w:val="26"/>
        </w:rPr>
      </w:pPr>
      <w:r w:rsidRPr="004A0CCD">
        <w:rPr>
          <w:b/>
          <w:bCs/>
          <w:sz w:val="26"/>
          <w:szCs w:val="26"/>
        </w:rPr>
        <w:t>OPEN RECORDS</w:t>
      </w:r>
    </w:p>
    <w:p w14:paraId="3FCBEE14" w14:textId="77777777" w:rsidR="0081088C" w:rsidRDefault="0081088C" w:rsidP="0081088C">
      <w:pPr>
        <w:jc w:val="both"/>
        <w:rPr>
          <w:sz w:val="26"/>
          <w:szCs w:val="26"/>
        </w:rPr>
      </w:pPr>
    </w:p>
    <w:p w14:paraId="0D79485D" w14:textId="77777777" w:rsidR="0081088C" w:rsidRDefault="0081088C" w:rsidP="0081088C">
      <w:pPr>
        <w:jc w:val="both"/>
        <w:rPr>
          <w:sz w:val="26"/>
          <w:szCs w:val="26"/>
        </w:rPr>
      </w:pPr>
      <w:r w:rsidRPr="00537CAF">
        <w:rPr>
          <w:sz w:val="26"/>
          <w:szCs w:val="26"/>
        </w:rPr>
        <w:t>Univ. of Tex. Sys. v. Franklin</w:t>
      </w:r>
      <w:r>
        <w:rPr>
          <w:sz w:val="26"/>
          <w:szCs w:val="26"/>
        </w:rPr>
        <w:t xml:space="preserve"> </w:t>
      </w:r>
      <w:r w:rsidRPr="00537CAF">
        <w:rPr>
          <w:sz w:val="26"/>
          <w:szCs w:val="26"/>
        </w:rPr>
        <w:t>Ctr. for Gov’t &amp; Pub. Integrity, ___ S.W.3d ___, 21-0534</w:t>
      </w:r>
      <w:r>
        <w:rPr>
          <w:sz w:val="26"/>
          <w:szCs w:val="26"/>
        </w:rPr>
        <w:t xml:space="preserve">, </w:t>
      </w:r>
      <w:r w:rsidRPr="00537CAF">
        <w:rPr>
          <w:sz w:val="26"/>
          <w:szCs w:val="26"/>
        </w:rPr>
        <w:t>2023 WL4278243 (Tex. June 30, 2023)</w:t>
      </w:r>
    </w:p>
    <w:p w14:paraId="00D9DC20" w14:textId="77777777" w:rsidR="0081088C" w:rsidRPr="00537CAF" w:rsidRDefault="0081088C" w:rsidP="0081088C">
      <w:pPr>
        <w:jc w:val="both"/>
        <w:rPr>
          <w:sz w:val="26"/>
          <w:szCs w:val="26"/>
        </w:rPr>
      </w:pPr>
    </w:p>
    <w:p w14:paraId="40DE5DEA" w14:textId="77777777" w:rsidR="0081088C" w:rsidRDefault="0081088C" w:rsidP="0081088C">
      <w:pPr>
        <w:jc w:val="both"/>
        <w:rPr>
          <w:sz w:val="26"/>
          <w:szCs w:val="26"/>
        </w:rPr>
      </w:pPr>
      <w:r w:rsidRPr="00537CAF">
        <w:rPr>
          <w:sz w:val="26"/>
          <w:szCs w:val="26"/>
        </w:rPr>
        <w:t xml:space="preserve">The issue </w:t>
      </w:r>
      <w:r>
        <w:rPr>
          <w:sz w:val="26"/>
          <w:szCs w:val="26"/>
        </w:rPr>
        <w:t>was</w:t>
      </w:r>
      <w:r w:rsidRPr="00537CAF">
        <w:rPr>
          <w:sz w:val="26"/>
          <w:szCs w:val="26"/>
        </w:rPr>
        <w:t xml:space="preserve"> whether</w:t>
      </w:r>
      <w:r>
        <w:rPr>
          <w:sz w:val="26"/>
          <w:szCs w:val="26"/>
        </w:rPr>
        <w:t xml:space="preserve"> </w:t>
      </w:r>
      <w:r w:rsidRPr="00537CAF">
        <w:rPr>
          <w:sz w:val="26"/>
          <w:szCs w:val="26"/>
        </w:rPr>
        <w:t>documents underlying an external investigation into allegations of undue</w:t>
      </w:r>
      <w:r>
        <w:rPr>
          <w:sz w:val="26"/>
          <w:szCs w:val="26"/>
        </w:rPr>
        <w:t xml:space="preserve"> </w:t>
      </w:r>
      <w:r w:rsidRPr="00537CAF">
        <w:rPr>
          <w:sz w:val="26"/>
          <w:szCs w:val="26"/>
        </w:rPr>
        <w:t>influence in a public university’s admissions process are protected by the</w:t>
      </w:r>
      <w:r>
        <w:rPr>
          <w:sz w:val="26"/>
          <w:szCs w:val="26"/>
        </w:rPr>
        <w:t xml:space="preserve"> </w:t>
      </w:r>
      <w:r w:rsidRPr="00537CAF">
        <w:rPr>
          <w:sz w:val="26"/>
          <w:szCs w:val="26"/>
        </w:rPr>
        <w:t>attorney–client privilege and are thus</w:t>
      </w:r>
      <w:r>
        <w:rPr>
          <w:sz w:val="26"/>
          <w:szCs w:val="26"/>
        </w:rPr>
        <w:t xml:space="preserve"> </w:t>
      </w:r>
      <w:r w:rsidRPr="00537CAF">
        <w:rPr>
          <w:sz w:val="26"/>
          <w:szCs w:val="26"/>
        </w:rPr>
        <w:t>exempt from disclosure under the</w:t>
      </w:r>
      <w:r>
        <w:rPr>
          <w:sz w:val="26"/>
          <w:szCs w:val="26"/>
        </w:rPr>
        <w:t xml:space="preserve"> </w:t>
      </w:r>
      <w:r w:rsidRPr="00537CAF">
        <w:rPr>
          <w:sz w:val="26"/>
          <w:szCs w:val="26"/>
        </w:rPr>
        <w:t>Texas Public Information Act.</w:t>
      </w:r>
      <w:r>
        <w:rPr>
          <w:sz w:val="26"/>
          <w:szCs w:val="26"/>
        </w:rPr>
        <w:t xml:space="preserve"> </w:t>
      </w:r>
      <w:r w:rsidRPr="00537CAF">
        <w:rPr>
          <w:sz w:val="26"/>
          <w:szCs w:val="26"/>
        </w:rPr>
        <w:t>The University of Texas System</w:t>
      </w:r>
      <w:r>
        <w:rPr>
          <w:sz w:val="26"/>
          <w:szCs w:val="26"/>
        </w:rPr>
        <w:t xml:space="preserve"> </w:t>
      </w:r>
      <w:r w:rsidRPr="00537CAF">
        <w:rPr>
          <w:sz w:val="26"/>
          <w:szCs w:val="26"/>
        </w:rPr>
        <w:t>hired Kroll Associates to investigate allegations of improper admissions practices at UT Austin. After Kroll completed its investigation and released its</w:t>
      </w:r>
      <w:r>
        <w:rPr>
          <w:sz w:val="26"/>
          <w:szCs w:val="26"/>
        </w:rPr>
        <w:t xml:space="preserve"> </w:t>
      </w:r>
      <w:r w:rsidRPr="00537CAF">
        <w:rPr>
          <w:sz w:val="26"/>
          <w:szCs w:val="26"/>
        </w:rPr>
        <w:t>final report, Franklin Center made a</w:t>
      </w:r>
      <w:r>
        <w:rPr>
          <w:sz w:val="26"/>
          <w:szCs w:val="26"/>
        </w:rPr>
        <w:t xml:space="preserve"> </w:t>
      </w:r>
      <w:r w:rsidRPr="00537CAF">
        <w:rPr>
          <w:sz w:val="26"/>
          <w:szCs w:val="26"/>
        </w:rPr>
        <w:t>request under the Public Information</w:t>
      </w:r>
      <w:r>
        <w:rPr>
          <w:sz w:val="26"/>
          <w:szCs w:val="26"/>
        </w:rPr>
        <w:t xml:space="preserve"> </w:t>
      </w:r>
      <w:r w:rsidRPr="00537CAF">
        <w:rPr>
          <w:sz w:val="26"/>
          <w:szCs w:val="26"/>
        </w:rPr>
        <w:t>Act for documents that were either provided to Kroll by the System or created</w:t>
      </w:r>
      <w:r>
        <w:rPr>
          <w:sz w:val="26"/>
          <w:szCs w:val="26"/>
        </w:rPr>
        <w:t xml:space="preserve"> </w:t>
      </w:r>
      <w:r w:rsidRPr="00537CAF">
        <w:rPr>
          <w:sz w:val="26"/>
          <w:szCs w:val="26"/>
        </w:rPr>
        <w:t>by Kroll during its investigation. The</w:t>
      </w:r>
      <w:r>
        <w:rPr>
          <w:sz w:val="26"/>
          <w:szCs w:val="26"/>
        </w:rPr>
        <w:t xml:space="preserve"> </w:t>
      </w:r>
      <w:r w:rsidRPr="00537CAF">
        <w:rPr>
          <w:sz w:val="26"/>
          <w:szCs w:val="26"/>
        </w:rPr>
        <w:t>System argued that all the documents</w:t>
      </w:r>
      <w:r>
        <w:rPr>
          <w:sz w:val="26"/>
          <w:szCs w:val="26"/>
        </w:rPr>
        <w:t xml:space="preserve"> </w:t>
      </w:r>
      <w:r w:rsidRPr="00537CAF">
        <w:rPr>
          <w:sz w:val="26"/>
          <w:szCs w:val="26"/>
        </w:rPr>
        <w:t>sought were protected from disclosure</w:t>
      </w:r>
      <w:r>
        <w:rPr>
          <w:sz w:val="26"/>
          <w:szCs w:val="26"/>
        </w:rPr>
        <w:t xml:space="preserve"> </w:t>
      </w:r>
      <w:r w:rsidRPr="00537CAF">
        <w:rPr>
          <w:sz w:val="26"/>
          <w:szCs w:val="26"/>
        </w:rPr>
        <w:t>by the attorney–client privilege because Kroll was serving as its “lawyer’s</w:t>
      </w:r>
      <w:r>
        <w:rPr>
          <w:sz w:val="26"/>
          <w:szCs w:val="26"/>
        </w:rPr>
        <w:t xml:space="preserve"> </w:t>
      </w:r>
      <w:r w:rsidRPr="00537CAF">
        <w:rPr>
          <w:sz w:val="26"/>
          <w:szCs w:val="26"/>
        </w:rPr>
        <w:t>representative” under Texas Rule of</w:t>
      </w:r>
      <w:r>
        <w:rPr>
          <w:sz w:val="26"/>
          <w:szCs w:val="26"/>
        </w:rPr>
        <w:t xml:space="preserve"> </w:t>
      </w:r>
      <w:r w:rsidRPr="00537CAF">
        <w:rPr>
          <w:sz w:val="26"/>
          <w:szCs w:val="26"/>
        </w:rPr>
        <w:t>Evidence 503 in conducting the investigation.</w:t>
      </w:r>
      <w:r>
        <w:rPr>
          <w:sz w:val="26"/>
          <w:szCs w:val="26"/>
        </w:rPr>
        <w:t xml:space="preserve"> </w:t>
      </w:r>
      <w:r w:rsidRPr="00537CAF">
        <w:rPr>
          <w:sz w:val="26"/>
          <w:szCs w:val="26"/>
        </w:rPr>
        <w:t>After reviewing the disputed</w:t>
      </w:r>
      <w:r>
        <w:rPr>
          <w:sz w:val="26"/>
          <w:szCs w:val="26"/>
        </w:rPr>
        <w:t xml:space="preserve"> </w:t>
      </w:r>
      <w:r w:rsidRPr="00537CAF">
        <w:rPr>
          <w:sz w:val="26"/>
          <w:szCs w:val="26"/>
        </w:rPr>
        <w:t>documents in camera, the trial court</w:t>
      </w:r>
      <w:r>
        <w:rPr>
          <w:sz w:val="26"/>
          <w:szCs w:val="26"/>
        </w:rPr>
        <w:t xml:space="preserve"> </w:t>
      </w:r>
      <w:r w:rsidRPr="00537CAF">
        <w:rPr>
          <w:sz w:val="26"/>
          <w:szCs w:val="26"/>
        </w:rPr>
        <w:t>determined that they were privileged.</w:t>
      </w:r>
      <w:r>
        <w:rPr>
          <w:sz w:val="26"/>
          <w:szCs w:val="26"/>
        </w:rPr>
        <w:t xml:space="preserve"> </w:t>
      </w:r>
    </w:p>
    <w:p w14:paraId="2DC5ACE2" w14:textId="77777777" w:rsidR="0081088C" w:rsidRPr="00537CAF" w:rsidRDefault="0081088C" w:rsidP="0081088C">
      <w:pPr>
        <w:jc w:val="both"/>
        <w:rPr>
          <w:sz w:val="26"/>
          <w:szCs w:val="26"/>
        </w:rPr>
      </w:pPr>
    </w:p>
    <w:p w14:paraId="13861500" w14:textId="77777777" w:rsidR="0081088C" w:rsidRDefault="0081088C" w:rsidP="0081088C">
      <w:pPr>
        <w:jc w:val="both"/>
        <w:rPr>
          <w:sz w:val="26"/>
          <w:szCs w:val="26"/>
        </w:rPr>
      </w:pPr>
      <w:r w:rsidRPr="00537CAF">
        <w:rPr>
          <w:sz w:val="26"/>
          <w:szCs w:val="26"/>
        </w:rPr>
        <w:t>The court of appeals reversed and ordered disclosure of all the documents.</w:t>
      </w:r>
      <w:r>
        <w:rPr>
          <w:sz w:val="26"/>
          <w:szCs w:val="26"/>
        </w:rPr>
        <w:t xml:space="preserve"> </w:t>
      </w:r>
      <w:r w:rsidRPr="00537CAF">
        <w:rPr>
          <w:sz w:val="26"/>
          <w:szCs w:val="26"/>
        </w:rPr>
        <w:t>The court reasoned that Kroll did not</w:t>
      </w:r>
      <w:r>
        <w:rPr>
          <w:sz w:val="26"/>
          <w:szCs w:val="26"/>
        </w:rPr>
        <w:t xml:space="preserve"> </w:t>
      </w:r>
      <w:r w:rsidRPr="00537CAF">
        <w:rPr>
          <w:sz w:val="26"/>
          <w:szCs w:val="26"/>
        </w:rPr>
        <w:t>qualify as a “lawyer’s representative”</w:t>
      </w:r>
      <w:r>
        <w:rPr>
          <w:sz w:val="26"/>
          <w:szCs w:val="26"/>
        </w:rPr>
        <w:t xml:space="preserve"> </w:t>
      </w:r>
      <w:r w:rsidRPr="00537CAF">
        <w:rPr>
          <w:sz w:val="26"/>
          <w:szCs w:val="26"/>
        </w:rPr>
        <w:t>because the final report did not contain</w:t>
      </w:r>
      <w:r>
        <w:rPr>
          <w:sz w:val="26"/>
          <w:szCs w:val="26"/>
        </w:rPr>
        <w:t xml:space="preserve"> </w:t>
      </w:r>
      <w:r w:rsidRPr="00537CAF">
        <w:rPr>
          <w:sz w:val="26"/>
          <w:szCs w:val="26"/>
        </w:rPr>
        <w:t>legal advice, Kroll did not provide legal</w:t>
      </w:r>
      <w:r>
        <w:rPr>
          <w:sz w:val="26"/>
          <w:szCs w:val="26"/>
        </w:rPr>
        <w:t xml:space="preserve"> </w:t>
      </w:r>
      <w:r w:rsidRPr="00537CAF">
        <w:rPr>
          <w:sz w:val="26"/>
          <w:szCs w:val="26"/>
        </w:rPr>
        <w:t>services to the System, and Kroll’</w:t>
      </w:r>
      <w:r>
        <w:rPr>
          <w:sz w:val="26"/>
          <w:szCs w:val="26"/>
        </w:rPr>
        <w:t xml:space="preserve">s </w:t>
      </w:r>
      <w:r w:rsidRPr="00537CAF">
        <w:rPr>
          <w:sz w:val="26"/>
          <w:szCs w:val="26"/>
        </w:rPr>
        <w:t>investigation was not performed to advise the System regarding potential legal liabilities.</w:t>
      </w:r>
      <w:r>
        <w:rPr>
          <w:sz w:val="26"/>
          <w:szCs w:val="26"/>
        </w:rPr>
        <w:t xml:space="preserve"> </w:t>
      </w:r>
    </w:p>
    <w:p w14:paraId="19E04BA3" w14:textId="77777777" w:rsidR="0081088C" w:rsidRDefault="0081088C" w:rsidP="0081088C">
      <w:pPr>
        <w:jc w:val="both"/>
        <w:rPr>
          <w:sz w:val="26"/>
          <w:szCs w:val="26"/>
        </w:rPr>
      </w:pPr>
    </w:p>
    <w:p w14:paraId="4CC26D41" w14:textId="77777777" w:rsidR="0081088C" w:rsidRDefault="0081088C" w:rsidP="0081088C">
      <w:pPr>
        <w:jc w:val="both"/>
        <w:rPr>
          <w:sz w:val="26"/>
          <w:szCs w:val="26"/>
        </w:rPr>
      </w:pPr>
      <w:r w:rsidRPr="00537CAF">
        <w:rPr>
          <w:sz w:val="26"/>
          <w:szCs w:val="26"/>
        </w:rPr>
        <w:t>The Supreme Court reversed,</w:t>
      </w:r>
      <w:r>
        <w:rPr>
          <w:sz w:val="26"/>
          <w:szCs w:val="26"/>
        </w:rPr>
        <w:t xml:space="preserve"> </w:t>
      </w:r>
      <w:r w:rsidRPr="00537CAF">
        <w:rPr>
          <w:sz w:val="26"/>
          <w:szCs w:val="26"/>
        </w:rPr>
        <w:t>holding that the attorney–client privilege attached to the disputed documents. The Court held that, to qualify</w:t>
      </w:r>
      <w:r>
        <w:rPr>
          <w:sz w:val="26"/>
          <w:szCs w:val="26"/>
        </w:rPr>
        <w:t xml:space="preserve"> </w:t>
      </w:r>
      <w:r w:rsidRPr="00537CAF">
        <w:rPr>
          <w:sz w:val="26"/>
          <w:szCs w:val="26"/>
        </w:rPr>
        <w:t>as a “lawyer’s representative” for purposes of the privilege, assisting in the</w:t>
      </w:r>
      <w:r>
        <w:rPr>
          <w:sz w:val="26"/>
          <w:szCs w:val="26"/>
        </w:rPr>
        <w:t xml:space="preserve"> </w:t>
      </w:r>
      <w:r w:rsidRPr="00537CAF">
        <w:rPr>
          <w:sz w:val="26"/>
          <w:szCs w:val="26"/>
        </w:rPr>
        <w:t>rendition of professional legal services</w:t>
      </w:r>
      <w:r>
        <w:rPr>
          <w:sz w:val="26"/>
          <w:szCs w:val="26"/>
        </w:rPr>
        <w:t xml:space="preserve"> </w:t>
      </w:r>
      <w:r w:rsidRPr="00537CAF">
        <w:rPr>
          <w:sz w:val="26"/>
          <w:szCs w:val="26"/>
        </w:rPr>
        <w:t>must be a significant purpose for which</w:t>
      </w:r>
      <w:r>
        <w:rPr>
          <w:sz w:val="26"/>
          <w:szCs w:val="26"/>
        </w:rPr>
        <w:t xml:space="preserve"> </w:t>
      </w:r>
      <w:r w:rsidRPr="00537CAF">
        <w:rPr>
          <w:sz w:val="26"/>
          <w:szCs w:val="26"/>
        </w:rPr>
        <w:t>the representative was hired. Applying</w:t>
      </w:r>
      <w:r>
        <w:rPr>
          <w:sz w:val="26"/>
          <w:szCs w:val="26"/>
        </w:rPr>
        <w:t xml:space="preserve"> </w:t>
      </w:r>
      <w:r w:rsidRPr="00537CAF">
        <w:rPr>
          <w:sz w:val="26"/>
          <w:szCs w:val="26"/>
        </w:rPr>
        <w:t>that standard, the Court concluded</w:t>
      </w:r>
      <w:r>
        <w:rPr>
          <w:sz w:val="26"/>
          <w:szCs w:val="26"/>
        </w:rPr>
        <w:t xml:space="preserve"> </w:t>
      </w:r>
      <w:r w:rsidRPr="00537CAF">
        <w:rPr>
          <w:sz w:val="26"/>
          <w:szCs w:val="26"/>
        </w:rPr>
        <w:t>that Kroll acted as a lawyer’s representative in conducting the investigation and that the disputed documents</w:t>
      </w:r>
      <w:r>
        <w:rPr>
          <w:sz w:val="26"/>
          <w:szCs w:val="26"/>
        </w:rPr>
        <w:t xml:space="preserve"> </w:t>
      </w:r>
      <w:r w:rsidRPr="00537CAF">
        <w:rPr>
          <w:sz w:val="26"/>
          <w:szCs w:val="26"/>
        </w:rPr>
        <w:t>were intended to be kept confidential.</w:t>
      </w:r>
      <w:r>
        <w:rPr>
          <w:sz w:val="26"/>
          <w:szCs w:val="26"/>
        </w:rPr>
        <w:t xml:space="preserve"> </w:t>
      </w:r>
      <w:r w:rsidRPr="00537CAF">
        <w:rPr>
          <w:sz w:val="26"/>
          <w:szCs w:val="26"/>
        </w:rPr>
        <w:t>The publication of the final report did</w:t>
      </w:r>
      <w:r>
        <w:rPr>
          <w:sz w:val="26"/>
          <w:szCs w:val="26"/>
        </w:rPr>
        <w:t xml:space="preserve"> </w:t>
      </w:r>
      <w:r w:rsidRPr="00537CAF">
        <w:rPr>
          <w:sz w:val="26"/>
          <w:szCs w:val="26"/>
        </w:rPr>
        <w:t>not result in a complete waiver of the</w:t>
      </w:r>
      <w:r>
        <w:rPr>
          <w:sz w:val="26"/>
          <w:szCs w:val="26"/>
        </w:rPr>
        <w:t xml:space="preserve"> </w:t>
      </w:r>
      <w:r w:rsidRPr="00537CAF">
        <w:rPr>
          <w:sz w:val="26"/>
          <w:szCs w:val="26"/>
        </w:rPr>
        <w:t>privilege as to all documents reviewed</w:t>
      </w:r>
      <w:r>
        <w:rPr>
          <w:sz w:val="26"/>
          <w:szCs w:val="26"/>
        </w:rPr>
        <w:t xml:space="preserve"> </w:t>
      </w:r>
      <w:r w:rsidRPr="00537CAF">
        <w:rPr>
          <w:sz w:val="26"/>
          <w:szCs w:val="26"/>
        </w:rPr>
        <w:t>or prepared by Kroll. However, to the</w:t>
      </w:r>
      <w:r>
        <w:rPr>
          <w:sz w:val="26"/>
          <w:szCs w:val="26"/>
        </w:rPr>
        <w:t xml:space="preserve"> </w:t>
      </w:r>
      <w:r w:rsidRPr="00537CAF">
        <w:rPr>
          <w:sz w:val="26"/>
          <w:szCs w:val="26"/>
        </w:rPr>
        <w:t>extent the report directly quoted from</w:t>
      </w:r>
      <w:r>
        <w:rPr>
          <w:sz w:val="26"/>
          <w:szCs w:val="26"/>
        </w:rPr>
        <w:t xml:space="preserve"> </w:t>
      </w:r>
      <w:r w:rsidRPr="00537CAF">
        <w:rPr>
          <w:sz w:val="26"/>
          <w:szCs w:val="26"/>
        </w:rPr>
        <w:t>or otherwise disclosed “any significant</w:t>
      </w:r>
      <w:r>
        <w:rPr>
          <w:sz w:val="26"/>
          <w:szCs w:val="26"/>
        </w:rPr>
        <w:t xml:space="preserve"> </w:t>
      </w:r>
      <w:r w:rsidRPr="00537CAF">
        <w:rPr>
          <w:sz w:val="26"/>
          <w:szCs w:val="26"/>
        </w:rPr>
        <w:t>part” of the disputed documents, publication of the report waived the System’s attorney–client privilege with respect to those specific documents.</w:t>
      </w:r>
      <w:r>
        <w:rPr>
          <w:sz w:val="26"/>
          <w:szCs w:val="26"/>
        </w:rPr>
        <w:t xml:space="preserve"> </w:t>
      </w:r>
    </w:p>
    <w:p w14:paraId="59E62390" w14:textId="77777777" w:rsidR="0081088C" w:rsidRPr="00537CAF" w:rsidRDefault="0081088C" w:rsidP="0081088C">
      <w:pPr>
        <w:jc w:val="both"/>
        <w:rPr>
          <w:sz w:val="26"/>
          <w:szCs w:val="26"/>
        </w:rPr>
      </w:pPr>
    </w:p>
    <w:p w14:paraId="6CEF3A0E" w14:textId="77777777" w:rsidR="0081088C" w:rsidRDefault="0081088C" w:rsidP="0081088C">
      <w:pPr>
        <w:jc w:val="both"/>
        <w:rPr>
          <w:sz w:val="26"/>
          <w:szCs w:val="26"/>
        </w:rPr>
      </w:pPr>
      <w:r w:rsidRPr="00537CAF">
        <w:rPr>
          <w:sz w:val="26"/>
          <w:szCs w:val="26"/>
        </w:rPr>
        <w:t>Justice Devine, joined by Justice</w:t>
      </w:r>
      <w:r>
        <w:rPr>
          <w:sz w:val="26"/>
          <w:szCs w:val="26"/>
        </w:rPr>
        <w:t xml:space="preserve"> </w:t>
      </w:r>
      <w:r w:rsidRPr="00537CAF">
        <w:rPr>
          <w:sz w:val="26"/>
          <w:szCs w:val="26"/>
        </w:rPr>
        <w:t>Boyd, dissented. While agreeing with</w:t>
      </w:r>
      <w:r>
        <w:rPr>
          <w:sz w:val="26"/>
          <w:szCs w:val="26"/>
        </w:rPr>
        <w:t xml:space="preserve"> </w:t>
      </w:r>
      <w:r w:rsidRPr="00537CAF">
        <w:rPr>
          <w:sz w:val="26"/>
          <w:szCs w:val="26"/>
        </w:rPr>
        <w:t>the Court’s standard, the dissent would</w:t>
      </w:r>
      <w:r>
        <w:rPr>
          <w:sz w:val="26"/>
          <w:szCs w:val="26"/>
        </w:rPr>
        <w:t xml:space="preserve"> </w:t>
      </w:r>
      <w:r w:rsidRPr="00537CAF">
        <w:rPr>
          <w:sz w:val="26"/>
          <w:szCs w:val="26"/>
        </w:rPr>
        <w:t>have held that the record did not sufficiently demonstrate that assisting UT’s</w:t>
      </w:r>
      <w:r>
        <w:rPr>
          <w:sz w:val="26"/>
          <w:szCs w:val="26"/>
        </w:rPr>
        <w:t xml:space="preserve"> </w:t>
      </w:r>
      <w:r w:rsidRPr="00537CAF">
        <w:rPr>
          <w:sz w:val="26"/>
          <w:szCs w:val="26"/>
        </w:rPr>
        <w:t>lawyers in the rendition of legal services was a significant purpose of</w:t>
      </w:r>
      <w:r>
        <w:rPr>
          <w:sz w:val="26"/>
          <w:szCs w:val="26"/>
        </w:rPr>
        <w:t xml:space="preserve"> </w:t>
      </w:r>
      <w:r w:rsidRPr="00537CAF">
        <w:rPr>
          <w:sz w:val="26"/>
          <w:szCs w:val="26"/>
        </w:rPr>
        <w:t>Kroll’s audit.</w:t>
      </w:r>
    </w:p>
    <w:p w14:paraId="309316C2" w14:textId="77777777" w:rsidR="0081088C" w:rsidRDefault="0081088C" w:rsidP="0081088C">
      <w:pPr>
        <w:jc w:val="both"/>
        <w:rPr>
          <w:sz w:val="26"/>
          <w:szCs w:val="26"/>
        </w:rPr>
      </w:pPr>
    </w:p>
    <w:p w14:paraId="15DCEB11" w14:textId="77777777" w:rsidR="0081088C" w:rsidRDefault="0081088C" w:rsidP="0081088C">
      <w:pPr>
        <w:jc w:val="both"/>
        <w:rPr>
          <w:sz w:val="26"/>
          <w:szCs w:val="26"/>
        </w:rPr>
      </w:pPr>
    </w:p>
    <w:p w14:paraId="5732B5CE" w14:textId="77777777" w:rsidR="0081088C" w:rsidRDefault="0081088C" w:rsidP="0081088C">
      <w:pPr>
        <w:jc w:val="both"/>
        <w:rPr>
          <w:b/>
          <w:bCs/>
          <w:sz w:val="26"/>
          <w:szCs w:val="26"/>
        </w:rPr>
      </w:pPr>
      <w:r>
        <w:rPr>
          <w:b/>
          <w:bCs/>
          <w:sz w:val="26"/>
          <w:szCs w:val="26"/>
        </w:rPr>
        <w:t>MOTIONS FOR NEW TRIAL</w:t>
      </w:r>
    </w:p>
    <w:p w14:paraId="4F757661" w14:textId="77777777" w:rsidR="0081088C" w:rsidRDefault="0081088C" w:rsidP="0081088C">
      <w:pPr>
        <w:jc w:val="both"/>
        <w:rPr>
          <w:b/>
          <w:bCs/>
          <w:sz w:val="26"/>
          <w:szCs w:val="26"/>
        </w:rPr>
      </w:pPr>
    </w:p>
    <w:p w14:paraId="684B3935" w14:textId="77777777" w:rsidR="0081088C" w:rsidRPr="00370FD9" w:rsidRDefault="0081088C" w:rsidP="0081088C">
      <w:pPr>
        <w:jc w:val="both"/>
        <w:rPr>
          <w:sz w:val="26"/>
          <w:szCs w:val="26"/>
        </w:rPr>
      </w:pPr>
      <w:r w:rsidRPr="00370FD9">
        <w:rPr>
          <w:i/>
          <w:iCs/>
          <w:sz w:val="26"/>
          <w:szCs w:val="26"/>
        </w:rPr>
        <w:t>In re Rudolph Auto., LLC</w:t>
      </w:r>
      <w:r w:rsidRPr="00370FD9">
        <w:rPr>
          <w:sz w:val="26"/>
          <w:szCs w:val="26"/>
        </w:rPr>
        <w:t>, ___</w:t>
      </w:r>
      <w:r>
        <w:rPr>
          <w:sz w:val="26"/>
          <w:szCs w:val="26"/>
        </w:rPr>
        <w:t xml:space="preserve"> </w:t>
      </w:r>
      <w:r w:rsidRPr="00370FD9">
        <w:rPr>
          <w:sz w:val="26"/>
          <w:szCs w:val="26"/>
        </w:rPr>
        <w:t>S.W.3d ___, 2023 WL</w:t>
      </w:r>
      <w:r>
        <w:rPr>
          <w:sz w:val="26"/>
          <w:szCs w:val="26"/>
        </w:rPr>
        <w:t xml:space="preserve"> </w:t>
      </w:r>
      <w:r w:rsidRPr="00370FD9">
        <w:rPr>
          <w:sz w:val="26"/>
          <w:szCs w:val="26"/>
        </w:rPr>
        <w:t>4035804</w:t>
      </w:r>
      <w:r>
        <w:rPr>
          <w:sz w:val="26"/>
          <w:szCs w:val="26"/>
        </w:rPr>
        <w:t>,</w:t>
      </w:r>
      <w:r w:rsidRPr="00370FD9">
        <w:rPr>
          <w:sz w:val="26"/>
          <w:szCs w:val="26"/>
        </w:rPr>
        <w:t xml:space="preserve"> 21-0135 (Tex. June 16, 2023)</w:t>
      </w:r>
    </w:p>
    <w:p w14:paraId="28DE9B85" w14:textId="77777777" w:rsidR="0081088C" w:rsidRDefault="0081088C" w:rsidP="0081088C">
      <w:pPr>
        <w:jc w:val="both"/>
        <w:rPr>
          <w:sz w:val="26"/>
          <w:szCs w:val="26"/>
        </w:rPr>
      </w:pPr>
    </w:p>
    <w:p w14:paraId="7F00FB0E" w14:textId="77777777" w:rsidR="0081088C" w:rsidRDefault="0081088C" w:rsidP="0081088C">
      <w:pPr>
        <w:jc w:val="both"/>
        <w:rPr>
          <w:sz w:val="26"/>
          <w:szCs w:val="26"/>
        </w:rPr>
      </w:pPr>
      <w:r>
        <w:rPr>
          <w:sz w:val="26"/>
          <w:szCs w:val="26"/>
        </w:rPr>
        <w:t xml:space="preserve">Only relatively recently has the Court been willing to review orders of new trials after a jury verdict on Mandamus. Traditionally it had held that there was sufficient remedy by appeal (so that the complaining party was forced to try the case a second time—and lose—to have any right to redress). </w:t>
      </w:r>
      <w:r w:rsidRPr="00370FD9">
        <w:rPr>
          <w:sz w:val="26"/>
          <w:szCs w:val="26"/>
        </w:rPr>
        <w:t xml:space="preserve">The issue </w:t>
      </w:r>
      <w:r>
        <w:rPr>
          <w:sz w:val="26"/>
          <w:szCs w:val="26"/>
        </w:rPr>
        <w:t>here wa</w:t>
      </w:r>
      <w:r w:rsidRPr="00370FD9">
        <w:rPr>
          <w:sz w:val="26"/>
          <w:szCs w:val="26"/>
        </w:rPr>
        <w:t>s whether</w:t>
      </w:r>
      <w:r>
        <w:rPr>
          <w:sz w:val="26"/>
          <w:szCs w:val="26"/>
        </w:rPr>
        <w:t xml:space="preserve"> </w:t>
      </w:r>
      <w:r w:rsidRPr="00370FD9">
        <w:rPr>
          <w:sz w:val="26"/>
          <w:szCs w:val="26"/>
        </w:rPr>
        <w:t>the trial court abused its discretion in</w:t>
      </w:r>
      <w:r>
        <w:rPr>
          <w:sz w:val="26"/>
          <w:szCs w:val="26"/>
        </w:rPr>
        <w:t xml:space="preserve"> </w:t>
      </w:r>
      <w:r w:rsidRPr="00370FD9">
        <w:rPr>
          <w:sz w:val="26"/>
          <w:szCs w:val="26"/>
        </w:rPr>
        <w:t>granting a new trial.</w:t>
      </w:r>
      <w:r>
        <w:rPr>
          <w:sz w:val="26"/>
          <w:szCs w:val="26"/>
        </w:rPr>
        <w:t xml:space="preserve"> </w:t>
      </w:r>
      <w:r w:rsidRPr="00370FD9">
        <w:rPr>
          <w:sz w:val="26"/>
          <w:szCs w:val="26"/>
        </w:rPr>
        <w:t>This case arose after a tragic accident: after several employees consumed beer on the premises of Rudolph</w:t>
      </w:r>
      <w:r>
        <w:rPr>
          <w:sz w:val="26"/>
          <w:szCs w:val="26"/>
        </w:rPr>
        <w:t xml:space="preserve"> </w:t>
      </w:r>
      <w:r w:rsidRPr="00370FD9">
        <w:rPr>
          <w:sz w:val="26"/>
          <w:szCs w:val="26"/>
        </w:rPr>
        <w:t>Mazda, one departing employee hit</w:t>
      </w:r>
      <w:r>
        <w:rPr>
          <w:sz w:val="26"/>
          <w:szCs w:val="26"/>
        </w:rPr>
        <w:t xml:space="preserve"> </w:t>
      </w:r>
      <w:r w:rsidRPr="00370FD9">
        <w:rPr>
          <w:sz w:val="26"/>
          <w:szCs w:val="26"/>
        </w:rPr>
        <w:t>Irma Vanessa Villegas, another employee, with his truck when she was</w:t>
      </w:r>
      <w:r>
        <w:rPr>
          <w:sz w:val="26"/>
          <w:szCs w:val="26"/>
        </w:rPr>
        <w:t xml:space="preserve"> </w:t>
      </w:r>
      <w:r w:rsidRPr="00370FD9">
        <w:rPr>
          <w:sz w:val="26"/>
          <w:szCs w:val="26"/>
        </w:rPr>
        <w:t>walking in the parking lot. Villegas suffered serious injuries and was left permanently paralyzed on one side before</w:t>
      </w:r>
      <w:r>
        <w:rPr>
          <w:sz w:val="26"/>
          <w:szCs w:val="26"/>
        </w:rPr>
        <w:t xml:space="preserve"> </w:t>
      </w:r>
      <w:r w:rsidRPr="00370FD9">
        <w:rPr>
          <w:sz w:val="26"/>
          <w:szCs w:val="26"/>
        </w:rPr>
        <w:t>passing away several years later. Villegas’s daughter, Andrea Juarez, sued</w:t>
      </w:r>
      <w:r>
        <w:rPr>
          <w:sz w:val="26"/>
          <w:szCs w:val="26"/>
        </w:rPr>
        <w:t xml:space="preserve"> </w:t>
      </w:r>
      <w:r w:rsidRPr="00370FD9">
        <w:rPr>
          <w:sz w:val="26"/>
          <w:szCs w:val="26"/>
        </w:rPr>
        <w:t>Rudolph and its employees for negligence, failure to train, and premises liability.</w:t>
      </w:r>
      <w:r>
        <w:rPr>
          <w:sz w:val="26"/>
          <w:szCs w:val="26"/>
        </w:rPr>
        <w:t xml:space="preserve"> </w:t>
      </w:r>
      <w:r w:rsidRPr="00370FD9">
        <w:rPr>
          <w:sz w:val="26"/>
          <w:szCs w:val="26"/>
        </w:rPr>
        <w:t>A pretrial order in limine prohibited testimony about Villegas’s drinking habits aside from the day of the accident. At the end of the three-week</w:t>
      </w:r>
      <w:r>
        <w:rPr>
          <w:sz w:val="26"/>
          <w:szCs w:val="26"/>
        </w:rPr>
        <w:t xml:space="preserve"> </w:t>
      </w:r>
      <w:r w:rsidRPr="00370FD9">
        <w:rPr>
          <w:sz w:val="26"/>
          <w:szCs w:val="26"/>
        </w:rPr>
        <w:t>jury trial, the final witness—an expert</w:t>
      </w:r>
      <w:r>
        <w:rPr>
          <w:sz w:val="26"/>
          <w:szCs w:val="26"/>
        </w:rPr>
        <w:t xml:space="preserve"> </w:t>
      </w:r>
      <w:r w:rsidRPr="00370FD9">
        <w:rPr>
          <w:sz w:val="26"/>
          <w:szCs w:val="26"/>
        </w:rPr>
        <w:t>toxicologist—provided testimony that</w:t>
      </w:r>
      <w:r>
        <w:rPr>
          <w:sz w:val="26"/>
          <w:szCs w:val="26"/>
        </w:rPr>
        <w:t xml:space="preserve"> </w:t>
      </w:r>
      <w:r w:rsidRPr="00370FD9">
        <w:rPr>
          <w:sz w:val="26"/>
          <w:szCs w:val="26"/>
        </w:rPr>
        <w:t>the court found to have violated the order. The judge gave a stern limiting instruction to the jury and the trial proceeded. The jury awarded Villegas and</w:t>
      </w:r>
      <w:r>
        <w:rPr>
          <w:sz w:val="26"/>
          <w:szCs w:val="26"/>
        </w:rPr>
        <w:t xml:space="preserve"> </w:t>
      </w:r>
      <w:r w:rsidRPr="00370FD9">
        <w:rPr>
          <w:sz w:val="26"/>
          <w:szCs w:val="26"/>
        </w:rPr>
        <w:t>Juarez over $4 million in damages.</w:t>
      </w:r>
      <w:r>
        <w:rPr>
          <w:sz w:val="26"/>
          <w:szCs w:val="26"/>
        </w:rPr>
        <w:t xml:space="preserve"> </w:t>
      </w:r>
      <w:r w:rsidRPr="00370FD9">
        <w:rPr>
          <w:sz w:val="26"/>
          <w:szCs w:val="26"/>
        </w:rPr>
        <w:t>Juarez then filed a motion for</w:t>
      </w:r>
      <w:r>
        <w:rPr>
          <w:sz w:val="26"/>
          <w:szCs w:val="26"/>
        </w:rPr>
        <w:t xml:space="preserve"> </w:t>
      </w:r>
      <w:r w:rsidRPr="00370FD9">
        <w:rPr>
          <w:sz w:val="26"/>
          <w:szCs w:val="26"/>
        </w:rPr>
        <w:t>new trial, which the district court</w:t>
      </w:r>
      <w:r>
        <w:rPr>
          <w:sz w:val="26"/>
          <w:szCs w:val="26"/>
        </w:rPr>
        <w:t xml:space="preserve"> </w:t>
      </w:r>
      <w:r w:rsidRPr="00370FD9">
        <w:rPr>
          <w:sz w:val="26"/>
          <w:szCs w:val="26"/>
        </w:rPr>
        <w:t>granted. The court listed four reasons</w:t>
      </w:r>
      <w:r>
        <w:rPr>
          <w:sz w:val="26"/>
          <w:szCs w:val="26"/>
        </w:rPr>
        <w:t xml:space="preserve"> </w:t>
      </w:r>
      <w:r w:rsidRPr="00370FD9">
        <w:rPr>
          <w:sz w:val="26"/>
          <w:szCs w:val="26"/>
        </w:rPr>
        <w:t>in its new-trial order: (1) the apportionment of responsibility to Rudolph was</w:t>
      </w:r>
      <w:r>
        <w:rPr>
          <w:sz w:val="26"/>
          <w:szCs w:val="26"/>
        </w:rPr>
        <w:t xml:space="preserve"> </w:t>
      </w:r>
      <w:r w:rsidRPr="00370FD9">
        <w:rPr>
          <w:sz w:val="26"/>
          <w:szCs w:val="26"/>
        </w:rPr>
        <w:t>irreconcilable with the jury’s failure to</w:t>
      </w:r>
      <w:r>
        <w:rPr>
          <w:sz w:val="26"/>
          <w:szCs w:val="26"/>
        </w:rPr>
        <w:t xml:space="preserve"> </w:t>
      </w:r>
      <w:r w:rsidRPr="00370FD9">
        <w:rPr>
          <w:sz w:val="26"/>
          <w:szCs w:val="26"/>
        </w:rPr>
        <w:t>find Rudolph negligent; (2) the jury’s</w:t>
      </w:r>
      <w:r>
        <w:rPr>
          <w:sz w:val="26"/>
          <w:szCs w:val="26"/>
        </w:rPr>
        <w:t xml:space="preserve"> </w:t>
      </w:r>
      <w:r w:rsidRPr="00370FD9">
        <w:rPr>
          <w:sz w:val="26"/>
          <w:szCs w:val="26"/>
        </w:rPr>
        <w:t>awards in certain categories of non-economic damages were inadequate given</w:t>
      </w:r>
      <w:r>
        <w:rPr>
          <w:sz w:val="26"/>
          <w:szCs w:val="26"/>
        </w:rPr>
        <w:t xml:space="preserve"> </w:t>
      </w:r>
      <w:r w:rsidRPr="00370FD9">
        <w:rPr>
          <w:sz w:val="26"/>
          <w:szCs w:val="26"/>
        </w:rPr>
        <w:t>the record’s positive depiction of Villegas; (3) on the day of the jury verdict,</w:t>
      </w:r>
      <w:r>
        <w:rPr>
          <w:sz w:val="26"/>
          <w:szCs w:val="26"/>
        </w:rPr>
        <w:t xml:space="preserve"> </w:t>
      </w:r>
      <w:r w:rsidRPr="00370FD9">
        <w:rPr>
          <w:sz w:val="26"/>
          <w:szCs w:val="26"/>
        </w:rPr>
        <w:t>this Court issued a decision in an unrelated case that might have affected the</w:t>
      </w:r>
      <w:r>
        <w:rPr>
          <w:sz w:val="26"/>
          <w:szCs w:val="26"/>
        </w:rPr>
        <w:t xml:space="preserve"> </w:t>
      </w:r>
      <w:r w:rsidRPr="00370FD9">
        <w:rPr>
          <w:sz w:val="26"/>
          <w:szCs w:val="26"/>
        </w:rPr>
        <w:t>trial court’s earlier rulings; and (4) the</w:t>
      </w:r>
      <w:r>
        <w:rPr>
          <w:sz w:val="26"/>
          <w:szCs w:val="26"/>
        </w:rPr>
        <w:t xml:space="preserve"> </w:t>
      </w:r>
      <w:r w:rsidRPr="00370FD9">
        <w:rPr>
          <w:sz w:val="26"/>
          <w:szCs w:val="26"/>
        </w:rPr>
        <w:t>expert’s improper testimony was incurable and caused the rendition of an improper verdict.</w:t>
      </w:r>
    </w:p>
    <w:p w14:paraId="63AC3BB3" w14:textId="77777777" w:rsidR="0081088C" w:rsidRPr="00370FD9" w:rsidRDefault="0081088C" w:rsidP="0081088C">
      <w:pPr>
        <w:jc w:val="both"/>
        <w:rPr>
          <w:sz w:val="26"/>
          <w:szCs w:val="26"/>
        </w:rPr>
      </w:pPr>
    </w:p>
    <w:p w14:paraId="617B265B" w14:textId="77777777" w:rsidR="0081088C" w:rsidRDefault="0081088C" w:rsidP="0081088C">
      <w:pPr>
        <w:jc w:val="both"/>
        <w:rPr>
          <w:sz w:val="26"/>
          <w:szCs w:val="26"/>
        </w:rPr>
      </w:pPr>
      <w:r w:rsidRPr="00370FD9">
        <w:rPr>
          <w:sz w:val="26"/>
          <w:szCs w:val="26"/>
        </w:rPr>
        <w:t>The court of appeals denied</w:t>
      </w:r>
      <w:r>
        <w:rPr>
          <w:sz w:val="26"/>
          <w:szCs w:val="26"/>
        </w:rPr>
        <w:t xml:space="preserve"> </w:t>
      </w:r>
      <w:r w:rsidRPr="00370FD9">
        <w:rPr>
          <w:sz w:val="26"/>
          <w:szCs w:val="26"/>
        </w:rPr>
        <w:t>mandamus relief. The Supreme Court</w:t>
      </w:r>
      <w:r>
        <w:rPr>
          <w:sz w:val="26"/>
          <w:szCs w:val="26"/>
        </w:rPr>
        <w:t xml:space="preserve"> </w:t>
      </w:r>
      <w:r w:rsidRPr="009B2BC0">
        <w:rPr>
          <w:i/>
          <w:iCs/>
          <w:sz w:val="26"/>
          <w:szCs w:val="26"/>
        </w:rPr>
        <w:t>granted</w:t>
      </w:r>
      <w:r w:rsidRPr="00370FD9">
        <w:rPr>
          <w:sz w:val="26"/>
          <w:szCs w:val="26"/>
        </w:rPr>
        <w:t xml:space="preserve"> </w:t>
      </w:r>
      <w:r>
        <w:rPr>
          <w:sz w:val="26"/>
          <w:szCs w:val="26"/>
        </w:rPr>
        <w:t xml:space="preserve">the </w:t>
      </w:r>
      <w:r w:rsidRPr="00370FD9">
        <w:rPr>
          <w:sz w:val="26"/>
          <w:szCs w:val="26"/>
        </w:rPr>
        <w:t xml:space="preserve">relief </w:t>
      </w:r>
      <w:r>
        <w:rPr>
          <w:sz w:val="26"/>
          <w:szCs w:val="26"/>
        </w:rPr>
        <w:t xml:space="preserve">reversing the new trial order) </w:t>
      </w:r>
      <w:r w:rsidRPr="00370FD9">
        <w:rPr>
          <w:sz w:val="26"/>
          <w:szCs w:val="26"/>
        </w:rPr>
        <w:t>based on its precedents</w:t>
      </w:r>
      <w:r>
        <w:rPr>
          <w:sz w:val="26"/>
          <w:szCs w:val="26"/>
        </w:rPr>
        <w:t xml:space="preserve"> </w:t>
      </w:r>
      <w:r w:rsidRPr="00370FD9">
        <w:rPr>
          <w:sz w:val="26"/>
          <w:szCs w:val="26"/>
        </w:rPr>
        <w:t>requiring clear, specific, and valid reasons to justify a new trial.</w:t>
      </w:r>
      <w:r>
        <w:rPr>
          <w:sz w:val="26"/>
          <w:szCs w:val="26"/>
        </w:rPr>
        <w:t xml:space="preserve"> In essence, on motion for new trial, the trial court has to behave as an appellate court if it will grant a new trial. </w:t>
      </w:r>
      <w:r w:rsidRPr="00370FD9">
        <w:rPr>
          <w:sz w:val="26"/>
          <w:szCs w:val="26"/>
        </w:rPr>
        <w:t>The Court reasoned that, individually or collectively, none of the articulated errors warranted a new trial:</w:t>
      </w:r>
      <w:r>
        <w:rPr>
          <w:sz w:val="26"/>
          <w:szCs w:val="26"/>
        </w:rPr>
        <w:t xml:space="preserve"> </w:t>
      </w:r>
      <w:r w:rsidRPr="00370FD9">
        <w:rPr>
          <w:sz w:val="26"/>
          <w:szCs w:val="26"/>
        </w:rPr>
        <w:t>(1) the verdict could be harmonized as</w:t>
      </w:r>
      <w:r>
        <w:rPr>
          <w:sz w:val="26"/>
          <w:szCs w:val="26"/>
        </w:rPr>
        <w:t xml:space="preserve"> </w:t>
      </w:r>
      <w:r w:rsidRPr="00370FD9">
        <w:rPr>
          <w:sz w:val="26"/>
          <w:szCs w:val="26"/>
        </w:rPr>
        <w:t>a matter of law, so a new trial was unnecessary; (2) nothing in the new-trial</w:t>
      </w:r>
      <w:r>
        <w:rPr>
          <w:sz w:val="26"/>
          <w:szCs w:val="26"/>
        </w:rPr>
        <w:t xml:space="preserve"> </w:t>
      </w:r>
      <w:r w:rsidRPr="00370FD9">
        <w:rPr>
          <w:sz w:val="26"/>
          <w:szCs w:val="26"/>
        </w:rPr>
        <w:t>order explained, based on the evidence,</w:t>
      </w:r>
      <w:r>
        <w:rPr>
          <w:sz w:val="26"/>
          <w:szCs w:val="26"/>
        </w:rPr>
        <w:t xml:space="preserve"> </w:t>
      </w:r>
      <w:r w:rsidRPr="00370FD9">
        <w:rPr>
          <w:sz w:val="26"/>
          <w:szCs w:val="26"/>
        </w:rPr>
        <w:t>why the jury could not have rationally</w:t>
      </w:r>
      <w:r>
        <w:rPr>
          <w:sz w:val="26"/>
          <w:szCs w:val="26"/>
        </w:rPr>
        <w:t xml:space="preserve"> </w:t>
      </w:r>
      <w:r w:rsidRPr="00370FD9">
        <w:rPr>
          <w:sz w:val="26"/>
          <w:szCs w:val="26"/>
        </w:rPr>
        <w:t>allocated damages as it did; (3) th</w:t>
      </w:r>
      <w:r>
        <w:rPr>
          <w:sz w:val="26"/>
          <w:szCs w:val="26"/>
        </w:rPr>
        <w:t xml:space="preserve">e Supreme </w:t>
      </w:r>
      <w:r w:rsidRPr="00370FD9">
        <w:rPr>
          <w:sz w:val="26"/>
          <w:szCs w:val="26"/>
        </w:rPr>
        <w:t>Court’s separate decision in a different</w:t>
      </w:r>
      <w:r>
        <w:rPr>
          <w:sz w:val="26"/>
          <w:szCs w:val="26"/>
        </w:rPr>
        <w:t xml:space="preserve"> </w:t>
      </w:r>
      <w:r w:rsidRPr="00370FD9">
        <w:rPr>
          <w:sz w:val="26"/>
          <w:szCs w:val="26"/>
        </w:rPr>
        <w:t>case had no plausible effect on this verdict; and (4) the jury system depends</w:t>
      </w:r>
      <w:r>
        <w:rPr>
          <w:sz w:val="26"/>
          <w:szCs w:val="26"/>
        </w:rPr>
        <w:t xml:space="preserve"> </w:t>
      </w:r>
      <w:r w:rsidRPr="00370FD9">
        <w:rPr>
          <w:sz w:val="26"/>
          <w:szCs w:val="26"/>
        </w:rPr>
        <w:t>on the presumption that jurors can and</w:t>
      </w:r>
      <w:r>
        <w:rPr>
          <w:sz w:val="26"/>
          <w:szCs w:val="26"/>
        </w:rPr>
        <w:t xml:space="preserve"> </w:t>
      </w:r>
      <w:r w:rsidRPr="00370FD9">
        <w:rPr>
          <w:sz w:val="26"/>
          <w:szCs w:val="26"/>
        </w:rPr>
        <w:t>will follow instructions, as they each</w:t>
      </w:r>
      <w:r>
        <w:rPr>
          <w:sz w:val="26"/>
          <w:szCs w:val="26"/>
        </w:rPr>
        <w:t xml:space="preserve"> </w:t>
      </w:r>
      <w:r w:rsidRPr="00370FD9">
        <w:rPr>
          <w:sz w:val="26"/>
          <w:szCs w:val="26"/>
        </w:rPr>
        <w:t>said they would do in this case regarding the curative instruction about expert testimony. To rebut this presumption, a new-trial order must show why</w:t>
      </w:r>
      <w:r>
        <w:rPr>
          <w:sz w:val="26"/>
          <w:szCs w:val="26"/>
        </w:rPr>
        <w:t xml:space="preserve"> </w:t>
      </w:r>
      <w:r w:rsidRPr="00370FD9">
        <w:rPr>
          <w:sz w:val="26"/>
          <w:szCs w:val="26"/>
        </w:rPr>
        <w:t>this jury could not follow the instruction, but no such reason was given</w:t>
      </w:r>
      <w:r>
        <w:rPr>
          <w:sz w:val="26"/>
          <w:szCs w:val="26"/>
        </w:rPr>
        <w:t xml:space="preserve"> </w:t>
      </w:r>
      <w:r w:rsidRPr="00370FD9">
        <w:rPr>
          <w:sz w:val="26"/>
          <w:szCs w:val="26"/>
        </w:rPr>
        <w:t>here.</w:t>
      </w:r>
    </w:p>
    <w:p w14:paraId="4C7B5337" w14:textId="77777777" w:rsidR="0081088C" w:rsidRPr="00370FD9" w:rsidRDefault="0081088C" w:rsidP="0081088C">
      <w:pPr>
        <w:jc w:val="both"/>
        <w:rPr>
          <w:sz w:val="26"/>
          <w:szCs w:val="26"/>
        </w:rPr>
      </w:pPr>
    </w:p>
    <w:p w14:paraId="32343CDF" w14:textId="77777777" w:rsidR="0081088C" w:rsidRDefault="0081088C" w:rsidP="0081088C">
      <w:pPr>
        <w:jc w:val="both"/>
        <w:rPr>
          <w:sz w:val="26"/>
          <w:szCs w:val="26"/>
        </w:rPr>
      </w:pPr>
      <w:r w:rsidRPr="00370FD9">
        <w:rPr>
          <w:sz w:val="26"/>
          <w:szCs w:val="26"/>
        </w:rPr>
        <w:t>Because no new trial was necessary, the Court conditionally granted</w:t>
      </w:r>
      <w:r>
        <w:rPr>
          <w:sz w:val="26"/>
          <w:szCs w:val="26"/>
        </w:rPr>
        <w:t xml:space="preserve"> </w:t>
      </w:r>
      <w:r w:rsidRPr="00370FD9">
        <w:rPr>
          <w:sz w:val="26"/>
          <w:szCs w:val="26"/>
        </w:rPr>
        <w:t>mandamus relief and ordered the trial</w:t>
      </w:r>
      <w:r>
        <w:rPr>
          <w:sz w:val="26"/>
          <w:szCs w:val="26"/>
        </w:rPr>
        <w:t xml:space="preserve"> </w:t>
      </w:r>
      <w:r w:rsidRPr="00370FD9">
        <w:rPr>
          <w:sz w:val="26"/>
          <w:szCs w:val="26"/>
        </w:rPr>
        <w:t>court to vacate the new-trial order, harmonize the verdict, and move to any remaining post-trial proceedings.</w:t>
      </w:r>
    </w:p>
    <w:p w14:paraId="19101353" w14:textId="77777777" w:rsidR="0081088C" w:rsidRDefault="0081088C" w:rsidP="0081088C">
      <w:pPr>
        <w:jc w:val="both"/>
        <w:rPr>
          <w:sz w:val="26"/>
          <w:szCs w:val="26"/>
        </w:rPr>
      </w:pPr>
    </w:p>
    <w:p w14:paraId="18C2289A" w14:textId="77777777" w:rsidR="0081088C" w:rsidRDefault="0081088C" w:rsidP="0081088C">
      <w:pPr>
        <w:jc w:val="both"/>
        <w:rPr>
          <w:b/>
          <w:bCs/>
          <w:sz w:val="26"/>
          <w:szCs w:val="26"/>
        </w:rPr>
      </w:pPr>
    </w:p>
    <w:p w14:paraId="692C368C" w14:textId="77777777" w:rsidR="0081088C" w:rsidRPr="0070424D" w:rsidRDefault="0081088C" w:rsidP="0081088C">
      <w:pPr>
        <w:jc w:val="both"/>
        <w:rPr>
          <w:b/>
          <w:bCs/>
          <w:sz w:val="26"/>
          <w:szCs w:val="26"/>
        </w:rPr>
      </w:pPr>
      <w:r w:rsidRPr="0070424D">
        <w:rPr>
          <w:b/>
          <w:bCs/>
          <w:sz w:val="26"/>
          <w:szCs w:val="26"/>
        </w:rPr>
        <w:t>STATUTE OF LIMITATIONS</w:t>
      </w:r>
    </w:p>
    <w:p w14:paraId="603589ED" w14:textId="77777777" w:rsidR="0081088C" w:rsidRDefault="0081088C" w:rsidP="0081088C">
      <w:pPr>
        <w:jc w:val="both"/>
        <w:rPr>
          <w:sz w:val="26"/>
          <w:szCs w:val="26"/>
        </w:rPr>
      </w:pPr>
    </w:p>
    <w:p w14:paraId="00F9269D" w14:textId="77777777" w:rsidR="0081088C" w:rsidRPr="0070424D" w:rsidRDefault="0081088C" w:rsidP="0081088C">
      <w:pPr>
        <w:jc w:val="both"/>
        <w:rPr>
          <w:sz w:val="26"/>
          <w:szCs w:val="26"/>
        </w:rPr>
      </w:pPr>
      <w:r w:rsidRPr="0070424D">
        <w:rPr>
          <w:i/>
          <w:iCs/>
          <w:sz w:val="26"/>
          <w:szCs w:val="26"/>
        </w:rPr>
        <w:t>Levinson Alcoser Assocs., L.P.</w:t>
      </w:r>
      <w:r>
        <w:rPr>
          <w:i/>
          <w:iCs/>
          <w:sz w:val="26"/>
          <w:szCs w:val="26"/>
        </w:rPr>
        <w:t xml:space="preserve"> </w:t>
      </w:r>
      <w:r w:rsidRPr="0070424D">
        <w:rPr>
          <w:i/>
          <w:iCs/>
          <w:sz w:val="26"/>
          <w:szCs w:val="26"/>
        </w:rPr>
        <w:t>v. El Pistolón II, Ltd</w:t>
      </w:r>
      <w:r w:rsidRPr="0070424D">
        <w:rPr>
          <w:sz w:val="26"/>
          <w:szCs w:val="26"/>
        </w:rPr>
        <w:t>., ___</w:t>
      </w:r>
      <w:r>
        <w:rPr>
          <w:sz w:val="26"/>
          <w:szCs w:val="26"/>
        </w:rPr>
        <w:t xml:space="preserve"> </w:t>
      </w:r>
      <w:r w:rsidRPr="0070424D">
        <w:rPr>
          <w:sz w:val="26"/>
          <w:szCs w:val="26"/>
        </w:rPr>
        <w:t>S.W.3d ___, 21-0797</w:t>
      </w:r>
      <w:r>
        <w:rPr>
          <w:sz w:val="26"/>
          <w:szCs w:val="26"/>
        </w:rPr>
        <w:t xml:space="preserve">, </w:t>
      </w:r>
      <w:r w:rsidRPr="0070424D">
        <w:rPr>
          <w:sz w:val="26"/>
          <w:szCs w:val="26"/>
        </w:rPr>
        <w:t>2023 WL</w:t>
      </w:r>
      <w:r>
        <w:rPr>
          <w:sz w:val="26"/>
          <w:szCs w:val="26"/>
        </w:rPr>
        <w:t xml:space="preserve"> </w:t>
      </w:r>
      <w:r w:rsidRPr="0070424D">
        <w:rPr>
          <w:sz w:val="26"/>
          <w:szCs w:val="26"/>
        </w:rPr>
        <w:t>4035916 (Tex. June 16, 2023)</w:t>
      </w:r>
    </w:p>
    <w:p w14:paraId="714AFC85" w14:textId="77777777" w:rsidR="0081088C" w:rsidRDefault="0081088C" w:rsidP="0081088C">
      <w:pPr>
        <w:jc w:val="both"/>
        <w:rPr>
          <w:sz w:val="26"/>
          <w:szCs w:val="26"/>
        </w:rPr>
      </w:pPr>
    </w:p>
    <w:p w14:paraId="64C66FF4" w14:textId="77777777" w:rsidR="0081088C" w:rsidRDefault="0081088C" w:rsidP="0081088C">
      <w:pPr>
        <w:jc w:val="both"/>
        <w:rPr>
          <w:sz w:val="26"/>
          <w:szCs w:val="26"/>
        </w:rPr>
      </w:pPr>
      <w:r>
        <w:rPr>
          <w:sz w:val="26"/>
          <w:szCs w:val="26"/>
        </w:rPr>
        <w:t xml:space="preserve">The Court held that a prior dismissal for failure to comply with the required expert architectural certificate </w:t>
      </w:r>
      <w:r w:rsidRPr="0070424D">
        <w:rPr>
          <w:sz w:val="26"/>
          <w:szCs w:val="26"/>
        </w:rPr>
        <w:t>as required by statute</w:t>
      </w:r>
      <w:r>
        <w:rPr>
          <w:sz w:val="26"/>
          <w:szCs w:val="26"/>
        </w:rPr>
        <w:t xml:space="preserve"> does not toll the statute.</w:t>
      </w:r>
    </w:p>
    <w:p w14:paraId="2BC1CFC4" w14:textId="77777777" w:rsidR="0081088C" w:rsidRDefault="0081088C" w:rsidP="0081088C">
      <w:pPr>
        <w:jc w:val="both"/>
        <w:rPr>
          <w:sz w:val="26"/>
          <w:szCs w:val="26"/>
        </w:rPr>
      </w:pPr>
    </w:p>
    <w:p w14:paraId="454C49CD" w14:textId="77777777" w:rsidR="0081088C" w:rsidRDefault="0081088C" w:rsidP="0081088C">
      <w:pPr>
        <w:jc w:val="both"/>
        <w:rPr>
          <w:sz w:val="26"/>
          <w:szCs w:val="26"/>
        </w:rPr>
      </w:pPr>
      <w:r w:rsidRPr="0070424D">
        <w:rPr>
          <w:sz w:val="26"/>
          <w:szCs w:val="26"/>
        </w:rPr>
        <w:t xml:space="preserve">The issue </w:t>
      </w:r>
      <w:r>
        <w:rPr>
          <w:sz w:val="26"/>
          <w:szCs w:val="26"/>
        </w:rPr>
        <w:t xml:space="preserve">was </w:t>
      </w:r>
      <w:r w:rsidRPr="0070424D">
        <w:rPr>
          <w:sz w:val="26"/>
          <w:szCs w:val="26"/>
        </w:rPr>
        <w:t>whether the running of limitations was</w:t>
      </w:r>
      <w:r>
        <w:rPr>
          <w:sz w:val="26"/>
          <w:szCs w:val="26"/>
        </w:rPr>
        <w:t xml:space="preserve"> </w:t>
      </w:r>
      <w:r w:rsidRPr="0070424D">
        <w:rPr>
          <w:i/>
          <w:iCs/>
          <w:sz w:val="26"/>
          <w:szCs w:val="26"/>
        </w:rPr>
        <w:t>equitably</w:t>
      </w:r>
      <w:r w:rsidRPr="0070424D">
        <w:rPr>
          <w:sz w:val="26"/>
          <w:szCs w:val="26"/>
        </w:rPr>
        <w:t xml:space="preserve"> tolled during the appeal of</w:t>
      </w:r>
      <w:r>
        <w:rPr>
          <w:sz w:val="26"/>
          <w:szCs w:val="26"/>
        </w:rPr>
        <w:t xml:space="preserve"> </w:t>
      </w:r>
      <w:r w:rsidRPr="0070424D">
        <w:rPr>
          <w:sz w:val="26"/>
          <w:szCs w:val="26"/>
        </w:rPr>
        <w:t>the plaintiff’s earlier, identical suit,</w:t>
      </w:r>
      <w:r>
        <w:rPr>
          <w:sz w:val="26"/>
          <w:szCs w:val="26"/>
        </w:rPr>
        <w:t xml:space="preserve"> </w:t>
      </w:r>
      <w:r w:rsidRPr="0070424D">
        <w:rPr>
          <w:sz w:val="26"/>
          <w:szCs w:val="26"/>
        </w:rPr>
        <w:t>which was ultimately dismissed after</w:t>
      </w:r>
      <w:r>
        <w:rPr>
          <w:sz w:val="26"/>
          <w:szCs w:val="26"/>
        </w:rPr>
        <w:t xml:space="preserve"> </w:t>
      </w:r>
      <w:r w:rsidRPr="0070424D">
        <w:rPr>
          <w:sz w:val="26"/>
          <w:szCs w:val="26"/>
        </w:rPr>
        <w:t>limitations expired.</w:t>
      </w:r>
      <w:r>
        <w:rPr>
          <w:sz w:val="26"/>
          <w:szCs w:val="26"/>
        </w:rPr>
        <w:t xml:space="preserve"> </w:t>
      </w:r>
      <w:r w:rsidRPr="0070424D">
        <w:rPr>
          <w:sz w:val="26"/>
          <w:szCs w:val="26"/>
        </w:rPr>
        <w:t>In 2010, El Pistolón sued Levinson for professional negligence and</w:t>
      </w:r>
      <w:r>
        <w:rPr>
          <w:sz w:val="26"/>
          <w:szCs w:val="26"/>
        </w:rPr>
        <w:t xml:space="preserve"> </w:t>
      </w:r>
      <w:r w:rsidRPr="0070424D">
        <w:rPr>
          <w:sz w:val="26"/>
          <w:szCs w:val="26"/>
        </w:rPr>
        <w:t>breach of contract arising from Levinson’s performance of architectural services. El Pistolón’s petition included a</w:t>
      </w:r>
      <w:r>
        <w:rPr>
          <w:sz w:val="26"/>
          <w:szCs w:val="26"/>
        </w:rPr>
        <w:t xml:space="preserve"> </w:t>
      </w:r>
      <w:r w:rsidRPr="0070424D">
        <w:rPr>
          <w:sz w:val="26"/>
          <w:szCs w:val="26"/>
        </w:rPr>
        <w:t>certificate of merit as required by statute. Levinson moved to dismiss, challenging the certificate of merit. The</w:t>
      </w:r>
      <w:r>
        <w:rPr>
          <w:sz w:val="26"/>
          <w:szCs w:val="26"/>
        </w:rPr>
        <w:t xml:space="preserve"> </w:t>
      </w:r>
      <w:r w:rsidRPr="0070424D">
        <w:rPr>
          <w:sz w:val="26"/>
          <w:szCs w:val="26"/>
        </w:rPr>
        <w:t>trial court denied the motion, but the</w:t>
      </w:r>
      <w:r>
        <w:rPr>
          <w:sz w:val="26"/>
          <w:szCs w:val="26"/>
        </w:rPr>
        <w:t xml:space="preserve"> </w:t>
      </w:r>
      <w:r w:rsidRPr="0070424D">
        <w:rPr>
          <w:sz w:val="26"/>
          <w:szCs w:val="26"/>
        </w:rPr>
        <w:t>court of appeals and the Supreme</w:t>
      </w:r>
      <w:r>
        <w:rPr>
          <w:sz w:val="26"/>
          <w:szCs w:val="26"/>
        </w:rPr>
        <w:t xml:space="preserve"> </w:t>
      </w:r>
      <w:r w:rsidRPr="0070424D">
        <w:rPr>
          <w:sz w:val="26"/>
          <w:szCs w:val="26"/>
        </w:rPr>
        <w:t>Court held that the certificate failed to</w:t>
      </w:r>
      <w:r>
        <w:rPr>
          <w:sz w:val="26"/>
          <w:szCs w:val="26"/>
        </w:rPr>
        <w:t xml:space="preserve"> </w:t>
      </w:r>
      <w:r w:rsidRPr="0070424D">
        <w:rPr>
          <w:sz w:val="26"/>
          <w:szCs w:val="26"/>
        </w:rPr>
        <w:t>satisfy statutory requirements. The</w:t>
      </w:r>
      <w:r>
        <w:rPr>
          <w:sz w:val="26"/>
          <w:szCs w:val="26"/>
        </w:rPr>
        <w:t xml:space="preserve"> </w:t>
      </w:r>
      <w:r w:rsidRPr="0070424D">
        <w:rPr>
          <w:sz w:val="26"/>
          <w:szCs w:val="26"/>
        </w:rPr>
        <w:t>trial court dismissed El Pistolón’s suit</w:t>
      </w:r>
      <w:r>
        <w:rPr>
          <w:sz w:val="26"/>
          <w:szCs w:val="26"/>
        </w:rPr>
        <w:t xml:space="preserve"> </w:t>
      </w:r>
      <w:r w:rsidRPr="0070424D">
        <w:rPr>
          <w:sz w:val="26"/>
          <w:szCs w:val="26"/>
        </w:rPr>
        <w:t>without prejudice in 2018.</w:t>
      </w:r>
      <w:r>
        <w:rPr>
          <w:sz w:val="26"/>
          <w:szCs w:val="26"/>
        </w:rPr>
        <w:t xml:space="preserve"> </w:t>
      </w:r>
      <w:r w:rsidRPr="0070424D">
        <w:rPr>
          <w:sz w:val="26"/>
          <w:szCs w:val="26"/>
        </w:rPr>
        <w:t>El Pistolón immediately refiled</w:t>
      </w:r>
      <w:r>
        <w:rPr>
          <w:sz w:val="26"/>
          <w:szCs w:val="26"/>
        </w:rPr>
        <w:t xml:space="preserve"> </w:t>
      </w:r>
      <w:r w:rsidRPr="0070424D">
        <w:rPr>
          <w:sz w:val="26"/>
          <w:szCs w:val="26"/>
        </w:rPr>
        <w:t>with a new certificate of merit and</w:t>
      </w:r>
      <w:r>
        <w:rPr>
          <w:sz w:val="26"/>
          <w:szCs w:val="26"/>
        </w:rPr>
        <w:t xml:space="preserve"> </w:t>
      </w:r>
      <w:r w:rsidRPr="0070424D">
        <w:rPr>
          <w:sz w:val="26"/>
          <w:szCs w:val="26"/>
        </w:rPr>
        <w:t>pleaded that equitable tolling paused</w:t>
      </w:r>
      <w:r>
        <w:rPr>
          <w:sz w:val="26"/>
          <w:szCs w:val="26"/>
        </w:rPr>
        <w:t xml:space="preserve"> </w:t>
      </w:r>
      <w:r w:rsidRPr="0070424D">
        <w:rPr>
          <w:sz w:val="26"/>
          <w:szCs w:val="26"/>
        </w:rPr>
        <w:t>the running of limitations. Levinson</w:t>
      </w:r>
      <w:r>
        <w:rPr>
          <w:sz w:val="26"/>
          <w:szCs w:val="26"/>
        </w:rPr>
        <w:t xml:space="preserve"> </w:t>
      </w:r>
      <w:r w:rsidRPr="0070424D">
        <w:rPr>
          <w:sz w:val="26"/>
          <w:szCs w:val="26"/>
        </w:rPr>
        <w:t>moved for summary judgment on limitations. The trial court granted Levinson’s motion, but the court of appeals</w:t>
      </w:r>
      <w:r>
        <w:rPr>
          <w:sz w:val="26"/>
          <w:szCs w:val="26"/>
        </w:rPr>
        <w:t xml:space="preserve"> </w:t>
      </w:r>
      <w:r w:rsidRPr="0070424D">
        <w:rPr>
          <w:sz w:val="26"/>
          <w:szCs w:val="26"/>
        </w:rPr>
        <w:t>reversed, holding that the running of</w:t>
      </w:r>
      <w:r>
        <w:rPr>
          <w:sz w:val="26"/>
          <w:szCs w:val="26"/>
        </w:rPr>
        <w:t xml:space="preserve"> </w:t>
      </w:r>
      <w:r w:rsidRPr="0070424D">
        <w:rPr>
          <w:sz w:val="26"/>
          <w:szCs w:val="26"/>
        </w:rPr>
        <w:t>limitations was equitably tolled while</w:t>
      </w:r>
      <w:r>
        <w:rPr>
          <w:sz w:val="26"/>
          <w:szCs w:val="26"/>
        </w:rPr>
        <w:t xml:space="preserve"> </w:t>
      </w:r>
      <w:r w:rsidRPr="0070424D">
        <w:rPr>
          <w:sz w:val="26"/>
          <w:szCs w:val="26"/>
        </w:rPr>
        <w:t>the 2010 suit was on appeal. Levinson</w:t>
      </w:r>
      <w:r>
        <w:rPr>
          <w:sz w:val="26"/>
          <w:szCs w:val="26"/>
        </w:rPr>
        <w:t xml:space="preserve"> </w:t>
      </w:r>
      <w:r w:rsidRPr="0070424D">
        <w:rPr>
          <w:sz w:val="26"/>
          <w:szCs w:val="26"/>
        </w:rPr>
        <w:t>petitioned for review.</w:t>
      </w:r>
    </w:p>
    <w:p w14:paraId="1AB80EC6" w14:textId="77777777" w:rsidR="0081088C" w:rsidRPr="0070424D" w:rsidRDefault="0081088C" w:rsidP="0081088C">
      <w:pPr>
        <w:jc w:val="both"/>
        <w:rPr>
          <w:sz w:val="26"/>
          <w:szCs w:val="26"/>
        </w:rPr>
      </w:pPr>
    </w:p>
    <w:p w14:paraId="50A8CE99" w14:textId="78E215AC" w:rsidR="0081088C" w:rsidRPr="0081088C" w:rsidRDefault="0081088C" w:rsidP="0081088C">
      <w:pPr>
        <w:jc w:val="both"/>
        <w:rPr>
          <w:sz w:val="26"/>
          <w:szCs w:val="26"/>
        </w:rPr>
      </w:pPr>
      <w:r w:rsidRPr="0070424D">
        <w:rPr>
          <w:sz w:val="26"/>
          <w:szCs w:val="26"/>
        </w:rPr>
        <w:t>The Supreme Court reversed</w:t>
      </w:r>
      <w:r>
        <w:rPr>
          <w:sz w:val="26"/>
          <w:szCs w:val="26"/>
        </w:rPr>
        <w:t xml:space="preserve"> </w:t>
      </w:r>
      <w:r w:rsidRPr="0070424D">
        <w:rPr>
          <w:sz w:val="26"/>
          <w:szCs w:val="26"/>
        </w:rPr>
        <w:t>and reinstated the trial court’s judgment. The Court noted that equitable</w:t>
      </w:r>
      <w:r>
        <w:rPr>
          <w:sz w:val="26"/>
          <w:szCs w:val="26"/>
        </w:rPr>
        <w:t xml:space="preserve"> </w:t>
      </w:r>
      <w:r w:rsidRPr="0070424D">
        <w:rPr>
          <w:sz w:val="26"/>
          <w:szCs w:val="26"/>
        </w:rPr>
        <w:t>tolling is sparingly applied and limited</w:t>
      </w:r>
      <w:r>
        <w:rPr>
          <w:sz w:val="26"/>
          <w:szCs w:val="26"/>
        </w:rPr>
        <w:t xml:space="preserve"> </w:t>
      </w:r>
      <w:r w:rsidRPr="0070424D">
        <w:rPr>
          <w:sz w:val="26"/>
          <w:szCs w:val="26"/>
        </w:rPr>
        <w:t>in scope. It concluded that the court of</w:t>
      </w:r>
      <w:r>
        <w:rPr>
          <w:sz w:val="26"/>
          <w:szCs w:val="26"/>
        </w:rPr>
        <w:t xml:space="preserve"> </w:t>
      </w:r>
      <w:r w:rsidRPr="0070424D">
        <w:rPr>
          <w:sz w:val="26"/>
          <w:szCs w:val="26"/>
        </w:rPr>
        <w:t>appeals improperly relied on a broad</w:t>
      </w:r>
      <w:r>
        <w:rPr>
          <w:sz w:val="26"/>
          <w:szCs w:val="26"/>
        </w:rPr>
        <w:t xml:space="preserve"> </w:t>
      </w:r>
      <w:r w:rsidRPr="0070424D">
        <w:rPr>
          <w:sz w:val="26"/>
          <w:szCs w:val="26"/>
        </w:rPr>
        <w:t>“legal impediment rule” to support equitable tolling because the Court’s</w:t>
      </w:r>
      <w:r>
        <w:rPr>
          <w:sz w:val="26"/>
          <w:szCs w:val="26"/>
        </w:rPr>
        <w:t xml:space="preserve"> </w:t>
      </w:r>
      <w:r w:rsidRPr="0070424D">
        <w:rPr>
          <w:sz w:val="26"/>
          <w:szCs w:val="26"/>
        </w:rPr>
        <w:t>precedents have limited such a rule’s</w:t>
      </w:r>
      <w:r>
        <w:rPr>
          <w:sz w:val="26"/>
          <w:szCs w:val="26"/>
        </w:rPr>
        <w:t xml:space="preserve"> </w:t>
      </w:r>
      <w:r w:rsidRPr="0070424D">
        <w:rPr>
          <w:sz w:val="26"/>
          <w:szCs w:val="26"/>
        </w:rPr>
        <w:t>application to (1) cases where an injunction prevents a claimant from</w:t>
      </w:r>
      <w:r>
        <w:rPr>
          <w:sz w:val="26"/>
          <w:szCs w:val="26"/>
        </w:rPr>
        <w:t xml:space="preserve"> </w:t>
      </w:r>
      <w:r w:rsidRPr="0070424D">
        <w:rPr>
          <w:sz w:val="26"/>
          <w:szCs w:val="26"/>
        </w:rPr>
        <w:t>bringing suit and (2) legal-malpractice</w:t>
      </w:r>
      <w:r>
        <w:rPr>
          <w:sz w:val="26"/>
          <w:szCs w:val="26"/>
        </w:rPr>
        <w:t xml:space="preserve"> </w:t>
      </w:r>
      <w:r w:rsidRPr="0070424D">
        <w:rPr>
          <w:sz w:val="26"/>
          <w:szCs w:val="26"/>
        </w:rPr>
        <w:t>claims. The Court also held that the</w:t>
      </w:r>
      <w:r>
        <w:rPr>
          <w:sz w:val="26"/>
          <w:szCs w:val="26"/>
        </w:rPr>
        <w:t xml:space="preserve"> </w:t>
      </w:r>
      <w:r w:rsidRPr="0070424D">
        <w:rPr>
          <w:sz w:val="26"/>
          <w:szCs w:val="26"/>
        </w:rPr>
        <w:t>dismissal of El Pistolón’s 2010 suit was</w:t>
      </w:r>
      <w:r>
        <w:rPr>
          <w:sz w:val="26"/>
          <w:szCs w:val="26"/>
        </w:rPr>
        <w:t xml:space="preserve"> </w:t>
      </w:r>
      <w:r w:rsidRPr="0070424D">
        <w:rPr>
          <w:sz w:val="26"/>
          <w:szCs w:val="26"/>
        </w:rPr>
        <w:t>not based on a procedural defect that</w:t>
      </w:r>
      <w:r>
        <w:rPr>
          <w:sz w:val="26"/>
          <w:szCs w:val="26"/>
        </w:rPr>
        <w:t xml:space="preserve"> </w:t>
      </w:r>
      <w:r w:rsidRPr="0070424D">
        <w:rPr>
          <w:sz w:val="26"/>
          <w:szCs w:val="26"/>
        </w:rPr>
        <w:t>would support equitable tolling. The</w:t>
      </w:r>
      <w:r>
        <w:rPr>
          <w:sz w:val="26"/>
          <w:szCs w:val="26"/>
        </w:rPr>
        <w:t xml:space="preserve"> </w:t>
      </w:r>
      <w:r w:rsidRPr="0070424D">
        <w:rPr>
          <w:sz w:val="26"/>
          <w:szCs w:val="26"/>
        </w:rPr>
        <w:t>Court rejected El Pistolón’s alternative</w:t>
      </w:r>
      <w:r>
        <w:rPr>
          <w:sz w:val="26"/>
          <w:szCs w:val="26"/>
        </w:rPr>
        <w:t xml:space="preserve"> </w:t>
      </w:r>
      <w:r w:rsidRPr="0070424D">
        <w:rPr>
          <w:sz w:val="26"/>
          <w:szCs w:val="26"/>
        </w:rPr>
        <w:t>arguments that summary judgment</w:t>
      </w:r>
      <w:r>
        <w:rPr>
          <w:sz w:val="26"/>
          <w:szCs w:val="26"/>
        </w:rPr>
        <w:t xml:space="preserve"> </w:t>
      </w:r>
      <w:r w:rsidRPr="0070424D">
        <w:rPr>
          <w:sz w:val="26"/>
          <w:szCs w:val="26"/>
        </w:rPr>
        <w:t>was improper because Levinson’s motion unartfully recited the summary judgment burden and failed to establish the precise accrual date.</w:t>
      </w:r>
      <w:r>
        <w:rPr>
          <w:sz w:val="26"/>
          <w:szCs w:val="26"/>
        </w:rPr>
        <w:t xml:space="preserve"> </w:t>
      </w:r>
    </w:p>
    <w:sectPr w:rsidR="0081088C" w:rsidRPr="0081088C" w:rsidSect="0081088C">
      <w:headerReference w:type="default" r:id="rId13"/>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442B" w14:textId="77777777" w:rsidR="000047AF" w:rsidRDefault="000047AF">
      <w:r>
        <w:separator/>
      </w:r>
    </w:p>
  </w:endnote>
  <w:endnote w:type="continuationSeparator" w:id="0">
    <w:p w14:paraId="1F6E2AD7" w14:textId="77777777" w:rsidR="000047AF" w:rsidRDefault="0000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innerD">
    <w:altName w:val="Arial"/>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6398" w14:textId="77777777" w:rsidR="000047AF" w:rsidRDefault="000047AF">
      <w:r>
        <w:separator/>
      </w:r>
    </w:p>
  </w:footnote>
  <w:footnote w:type="continuationSeparator" w:id="0">
    <w:p w14:paraId="47DAF841" w14:textId="77777777" w:rsidR="000047AF" w:rsidRDefault="0000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84558813"/>
      <w:docPartObj>
        <w:docPartGallery w:val="Page Numbers (Top of Page)"/>
        <w:docPartUnique/>
      </w:docPartObj>
    </w:sdtPr>
    <w:sdtEndPr>
      <w:rPr>
        <w:b/>
        <w:bCs/>
        <w:noProof/>
        <w:color w:val="auto"/>
        <w:spacing w:val="0"/>
      </w:rPr>
    </w:sdtEndPr>
    <w:sdtContent>
      <w:p w14:paraId="35BE7EBC" w14:textId="77777777" w:rsidR="00204729" w:rsidRDefault="0000000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810BD73" w14:textId="77777777" w:rsidR="00204729" w:rsidRDefault="00000000">
    <w:pPr>
      <w:pStyle w:val="Header"/>
    </w:pPr>
  </w:p>
  <w:p w14:paraId="6540C5BC" w14:textId="77777777" w:rsidR="007724C3"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A7"/>
    <w:rsid w:val="000047AF"/>
    <w:rsid w:val="00190BAD"/>
    <w:rsid w:val="00206AE8"/>
    <w:rsid w:val="00521E15"/>
    <w:rsid w:val="005C426C"/>
    <w:rsid w:val="007723B8"/>
    <w:rsid w:val="0081088C"/>
    <w:rsid w:val="008930A7"/>
    <w:rsid w:val="00B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0FCD"/>
  <w15:docId w15:val="{67074FA8-5BD0-479F-8BDC-B82E001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2"/>
      <w:ind w:left="861"/>
    </w:pPr>
    <w:rPr>
      <w:rFonts w:ascii="Trebuchet MS" w:eastAsia="Trebuchet MS" w:hAnsi="Trebuchet MS" w:cs="Trebuchet M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088C"/>
    <w:rPr>
      <w:color w:val="0000FF" w:themeColor="hyperlink"/>
      <w:u w:val="single"/>
    </w:rPr>
  </w:style>
  <w:style w:type="character" w:styleId="UnresolvedMention">
    <w:name w:val="Unresolved Mention"/>
    <w:basedOn w:val="DefaultParagraphFont"/>
    <w:uiPriority w:val="99"/>
    <w:semiHidden/>
    <w:unhideWhenUsed/>
    <w:rsid w:val="0081088C"/>
    <w:rPr>
      <w:color w:val="605E5C"/>
      <w:shd w:val="clear" w:color="auto" w:fill="E1DFDD"/>
    </w:rPr>
  </w:style>
  <w:style w:type="character" w:styleId="FootnoteReference">
    <w:name w:val="footnote reference"/>
    <w:semiHidden/>
    <w:rsid w:val="0081088C"/>
  </w:style>
  <w:style w:type="paragraph" w:styleId="Caption">
    <w:name w:val="caption"/>
    <w:basedOn w:val="Normal"/>
    <w:next w:val="Normal"/>
    <w:qFormat/>
    <w:rsid w:val="0081088C"/>
    <w:pPr>
      <w:tabs>
        <w:tab w:val="right" w:pos="9360"/>
      </w:tabs>
      <w:adjustRightInd w:val="0"/>
      <w:jc w:val="center"/>
    </w:pPr>
    <w:rPr>
      <w:rFonts w:ascii="BinnerD" w:eastAsia="Times New Roman" w:hAnsi="BinnerD" w:cs="Times New Roman"/>
      <w:b/>
      <w:smallCaps/>
      <w:color w:val="808080"/>
      <w:sz w:val="44"/>
      <w:szCs w:val="72"/>
    </w:rPr>
  </w:style>
  <w:style w:type="paragraph" w:styleId="Header">
    <w:name w:val="header"/>
    <w:basedOn w:val="Normal"/>
    <w:link w:val="HeaderChar"/>
    <w:uiPriority w:val="99"/>
    <w:unhideWhenUsed/>
    <w:rsid w:val="0081088C"/>
    <w:pPr>
      <w:tabs>
        <w:tab w:val="center" w:pos="4680"/>
        <w:tab w:val="right" w:pos="9360"/>
      </w:tabs>
      <w:adjustRightInd w:val="0"/>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81088C"/>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1088C"/>
    <w:pPr>
      <w:tabs>
        <w:tab w:val="center" w:pos="4680"/>
        <w:tab w:val="right" w:pos="9360"/>
      </w:tabs>
      <w:adjustRightInd w:val="0"/>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81088C"/>
    <w:rPr>
      <w:rFonts w:ascii="Times New Roman" w:eastAsia="Times New Roman" w:hAnsi="Times New Roman" w:cs="Times New Roman"/>
      <w:sz w:val="20"/>
      <w:szCs w:val="24"/>
    </w:rPr>
  </w:style>
  <w:style w:type="character" w:customStyle="1" w:styleId="fontstyle01">
    <w:name w:val="fontstyle01"/>
    <w:basedOn w:val="DefaultParagraphFont"/>
    <w:rsid w:val="0081088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hambleery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7050</Words>
  <Characters>40187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Kabetzke</dc:creator>
  <cp:lastModifiedBy>JoAnn Kabetzke</cp:lastModifiedBy>
  <cp:revision>4</cp:revision>
  <dcterms:created xsi:type="dcterms:W3CDTF">2023-07-12T19:41:00Z</dcterms:created>
  <dcterms:modified xsi:type="dcterms:W3CDTF">2023-07-12T21:02:00Z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Aspose Ltd.</vt:lpwstr>
  </property>
  <property fmtid="{D5CDD505-2E9C-101B-9397-08002B2CF9AE}" pid="4" name="LastSaved">
    <vt:filetime>2023-07-12T00:00:00Z</vt:filetime>
  </property>
  <property fmtid="{D5CDD505-2E9C-101B-9397-08002B2CF9AE}" pid="5" name="Producer">
    <vt:lpwstr>Aspose.PDF for .NET 22.6.0</vt:lpwstr>
  </property>
</Properties>
</file>